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0E24F" w14:textId="50C0563E" w:rsidR="007D598B" w:rsidRDefault="007D598B" w:rsidP="007D598B">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b/>
          <w:bCs/>
          <w:sz w:val="40"/>
          <w:szCs w:val="40"/>
        </w:rPr>
        <w:t>EELNÕU 2022/</w:t>
      </w:r>
      <w:r w:rsidR="00125BA9">
        <w:rPr>
          <w:b/>
          <w:bCs/>
          <w:sz w:val="40"/>
          <w:szCs w:val="40"/>
        </w:rPr>
        <w:t>89</w:t>
      </w:r>
    </w:p>
    <w:p w14:paraId="7DF6C849" w14:textId="77777777" w:rsidR="007D598B" w:rsidRDefault="007D598B" w:rsidP="007D598B">
      <w:pPr>
        <w:rPr>
          <w:sz w:val="22"/>
          <w:szCs w:val="22"/>
        </w:rPr>
      </w:pPr>
    </w:p>
    <w:p w14:paraId="7F6EA5AE" w14:textId="77777777" w:rsidR="007D598B" w:rsidRDefault="007D598B" w:rsidP="007D598B">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52D70C81" w14:textId="77777777" w:rsidR="007D598B" w:rsidRDefault="007D598B" w:rsidP="007D598B">
      <w:pPr>
        <w:rPr>
          <w:b/>
          <w:bCs/>
          <w:sz w:val="24"/>
          <w:szCs w:val="24"/>
        </w:rPr>
      </w:pPr>
    </w:p>
    <w:tbl>
      <w:tblPr>
        <w:tblW w:w="0" w:type="dxa"/>
        <w:tblInd w:w="5804" w:type="dxa"/>
        <w:tblLayout w:type="fixed"/>
        <w:tblLook w:val="04A0" w:firstRow="1" w:lastRow="0" w:firstColumn="1" w:lastColumn="0" w:noHBand="0" w:noVBand="1"/>
      </w:tblPr>
      <w:tblGrid>
        <w:gridCol w:w="3544"/>
        <w:gridCol w:w="567"/>
      </w:tblGrid>
      <w:tr w:rsidR="007D598B" w14:paraId="5DA96175" w14:textId="77777777" w:rsidTr="007D598B">
        <w:tc>
          <w:tcPr>
            <w:tcW w:w="3544" w:type="dxa"/>
            <w:tcBorders>
              <w:top w:val="single" w:sz="6" w:space="0" w:color="auto"/>
              <w:left w:val="single" w:sz="6" w:space="0" w:color="auto"/>
              <w:bottom w:val="single" w:sz="6" w:space="0" w:color="auto"/>
              <w:right w:val="nil"/>
            </w:tcBorders>
            <w:hideMark/>
          </w:tcPr>
          <w:p w14:paraId="1F079A4A" w14:textId="77777777" w:rsidR="007D598B" w:rsidRDefault="007D598B">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01B6D22B" w14:textId="5AEE8956" w:rsidR="007D598B" w:rsidRDefault="00125BA9">
            <w:pPr>
              <w:rPr>
                <w:sz w:val="24"/>
                <w:szCs w:val="24"/>
              </w:rPr>
            </w:pPr>
            <w:r>
              <w:rPr>
                <w:sz w:val="24"/>
                <w:szCs w:val="24"/>
              </w:rPr>
              <w:t>X</w:t>
            </w:r>
          </w:p>
        </w:tc>
      </w:tr>
      <w:tr w:rsidR="007D598B" w14:paraId="7214627B" w14:textId="77777777" w:rsidTr="007D598B">
        <w:tc>
          <w:tcPr>
            <w:tcW w:w="3544" w:type="dxa"/>
            <w:tcBorders>
              <w:top w:val="single" w:sz="6" w:space="0" w:color="auto"/>
              <w:left w:val="single" w:sz="6" w:space="0" w:color="auto"/>
              <w:bottom w:val="single" w:sz="6" w:space="0" w:color="auto"/>
              <w:right w:val="nil"/>
            </w:tcBorders>
            <w:hideMark/>
          </w:tcPr>
          <w:p w14:paraId="460CBB4B" w14:textId="77777777" w:rsidR="007D598B" w:rsidRDefault="007D598B">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717A0B67" w14:textId="77777777" w:rsidR="007D598B" w:rsidRDefault="007D598B">
            <w:pPr>
              <w:rPr>
                <w:sz w:val="24"/>
                <w:szCs w:val="24"/>
              </w:rPr>
            </w:pPr>
          </w:p>
        </w:tc>
      </w:tr>
      <w:tr w:rsidR="007D598B" w14:paraId="000B259F" w14:textId="77777777" w:rsidTr="007D598B">
        <w:tc>
          <w:tcPr>
            <w:tcW w:w="3544" w:type="dxa"/>
            <w:tcBorders>
              <w:top w:val="single" w:sz="6" w:space="0" w:color="auto"/>
              <w:left w:val="single" w:sz="6" w:space="0" w:color="auto"/>
              <w:bottom w:val="single" w:sz="6" w:space="0" w:color="auto"/>
              <w:right w:val="nil"/>
            </w:tcBorders>
            <w:hideMark/>
          </w:tcPr>
          <w:p w14:paraId="1312F076" w14:textId="77777777" w:rsidR="007D598B" w:rsidRDefault="007D598B">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89FA85F" w14:textId="77777777" w:rsidR="007D598B" w:rsidRDefault="007D598B">
            <w:pPr>
              <w:rPr>
                <w:sz w:val="24"/>
                <w:szCs w:val="24"/>
              </w:rPr>
            </w:pPr>
          </w:p>
        </w:tc>
      </w:tr>
      <w:tr w:rsidR="007D598B" w14:paraId="023394AB" w14:textId="77777777" w:rsidTr="007D598B">
        <w:tc>
          <w:tcPr>
            <w:tcW w:w="3544" w:type="dxa"/>
            <w:tcBorders>
              <w:top w:val="single" w:sz="6" w:space="0" w:color="auto"/>
              <w:left w:val="single" w:sz="6" w:space="0" w:color="auto"/>
              <w:bottom w:val="single" w:sz="6" w:space="0" w:color="auto"/>
              <w:right w:val="nil"/>
            </w:tcBorders>
            <w:hideMark/>
          </w:tcPr>
          <w:p w14:paraId="46AF07D3" w14:textId="77777777" w:rsidR="007D598B" w:rsidRDefault="007D598B">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3CBF2EF" w14:textId="0C17963E" w:rsidR="007D598B" w:rsidRDefault="00125BA9">
            <w:pPr>
              <w:rPr>
                <w:sz w:val="24"/>
                <w:szCs w:val="24"/>
              </w:rPr>
            </w:pPr>
            <w:r>
              <w:rPr>
                <w:sz w:val="24"/>
                <w:szCs w:val="24"/>
              </w:rPr>
              <w:t>X</w:t>
            </w:r>
          </w:p>
        </w:tc>
      </w:tr>
      <w:tr w:rsidR="007D598B" w14:paraId="2D7209ED" w14:textId="77777777" w:rsidTr="007D598B">
        <w:tc>
          <w:tcPr>
            <w:tcW w:w="3544" w:type="dxa"/>
            <w:tcBorders>
              <w:top w:val="single" w:sz="6" w:space="0" w:color="auto"/>
              <w:left w:val="single" w:sz="6" w:space="0" w:color="auto"/>
              <w:bottom w:val="single" w:sz="6" w:space="0" w:color="auto"/>
              <w:right w:val="nil"/>
            </w:tcBorders>
            <w:hideMark/>
          </w:tcPr>
          <w:p w14:paraId="0FDB0F6F" w14:textId="77777777" w:rsidR="007D598B" w:rsidRDefault="007D598B">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61EBC85A" w14:textId="77777777" w:rsidR="007D598B" w:rsidRDefault="007D598B">
            <w:pPr>
              <w:rPr>
                <w:sz w:val="24"/>
                <w:szCs w:val="24"/>
              </w:rPr>
            </w:pPr>
          </w:p>
        </w:tc>
      </w:tr>
      <w:tr w:rsidR="007D598B" w14:paraId="747CDB18" w14:textId="77777777" w:rsidTr="007D598B">
        <w:tc>
          <w:tcPr>
            <w:tcW w:w="3544" w:type="dxa"/>
            <w:tcBorders>
              <w:top w:val="single" w:sz="6" w:space="0" w:color="auto"/>
              <w:left w:val="single" w:sz="6" w:space="0" w:color="auto"/>
              <w:bottom w:val="single" w:sz="6" w:space="0" w:color="auto"/>
              <w:right w:val="nil"/>
            </w:tcBorders>
            <w:hideMark/>
          </w:tcPr>
          <w:p w14:paraId="0AF38BCA" w14:textId="77777777" w:rsidR="007D598B" w:rsidRDefault="007D598B">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3C466AD2" w14:textId="4F0A5869" w:rsidR="007D598B" w:rsidRDefault="00125BA9">
            <w:pPr>
              <w:rPr>
                <w:sz w:val="24"/>
                <w:szCs w:val="24"/>
              </w:rPr>
            </w:pPr>
            <w:r>
              <w:rPr>
                <w:sz w:val="24"/>
                <w:szCs w:val="24"/>
              </w:rPr>
              <w:t>JK</w:t>
            </w:r>
          </w:p>
        </w:tc>
      </w:tr>
    </w:tbl>
    <w:p w14:paraId="74EE1BA1" w14:textId="77777777" w:rsidR="007D598B" w:rsidRDefault="007D598B" w:rsidP="007D598B">
      <w:pPr>
        <w:jc w:val="center"/>
        <w:rPr>
          <w:b/>
          <w:bCs/>
          <w:iCs/>
          <w:sz w:val="24"/>
          <w:szCs w:val="24"/>
        </w:rPr>
      </w:pPr>
    </w:p>
    <w:p w14:paraId="6DA6EFB0" w14:textId="77777777" w:rsidR="007D598B" w:rsidRDefault="007D598B" w:rsidP="007D598B">
      <w:pPr>
        <w:jc w:val="center"/>
        <w:rPr>
          <w:b/>
          <w:bCs/>
          <w:iCs/>
          <w:sz w:val="24"/>
          <w:szCs w:val="24"/>
        </w:rPr>
      </w:pPr>
      <w:r>
        <w:rPr>
          <w:b/>
          <w:bCs/>
          <w:iCs/>
          <w:sz w:val="24"/>
          <w:szCs w:val="24"/>
        </w:rPr>
        <w:t>VILJANDI LINNAVOLIKOGU</w:t>
      </w:r>
    </w:p>
    <w:p w14:paraId="38462B0C" w14:textId="77777777" w:rsidR="007D598B" w:rsidRDefault="007D598B" w:rsidP="007D598B">
      <w:pPr>
        <w:rPr>
          <w:iCs/>
          <w:sz w:val="24"/>
          <w:szCs w:val="24"/>
        </w:rPr>
      </w:pPr>
    </w:p>
    <w:p w14:paraId="76EE4BCA" w14:textId="77777777" w:rsidR="007D598B" w:rsidRDefault="007D598B" w:rsidP="007D598B">
      <w:pPr>
        <w:pStyle w:val="Pealkiri7"/>
        <w:rPr>
          <w:i w:val="0"/>
        </w:rPr>
      </w:pPr>
      <w:r>
        <w:rPr>
          <w:i w:val="0"/>
        </w:rPr>
        <w:t>MÄÄRUS</w:t>
      </w:r>
    </w:p>
    <w:p w14:paraId="2EDE7BD2" w14:textId="77777777" w:rsidR="007D598B" w:rsidRDefault="007D598B" w:rsidP="007D598B">
      <w:pPr>
        <w:jc w:val="center"/>
        <w:rPr>
          <w:b/>
          <w:bCs/>
          <w:iCs/>
          <w:sz w:val="24"/>
          <w:szCs w:val="24"/>
        </w:rPr>
      </w:pPr>
    </w:p>
    <w:p w14:paraId="2840EF72" w14:textId="77777777" w:rsidR="007D598B" w:rsidRDefault="007D598B" w:rsidP="007D598B">
      <w:pPr>
        <w:pStyle w:val="Pealkiri3"/>
        <w:ind w:left="5760" w:firstLine="720"/>
        <w:jc w:val="both"/>
        <w:rPr>
          <w:b w:val="0"/>
          <w:i w:val="0"/>
        </w:rPr>
      </w:pPr>
      <w:r>
        <w:rPr>
          <w:b w:val="0"/>
          <w:i w:val="0"/>
        </w:rPr>
        <w:t xml:space="preserve">16. juuni 2022   nr </w:t>
      </w:r>
    </w:p>
    <w:p w14:paraId="5E2EBF2E" w14:textId="77777777" w:rsidR="007D598B" w:rsidRDefault="007D598B" w:rsidP="007D598B">
      <w:pPr>
        <w:jc w:val="both"/>
        <w:rPr>
          <w:sz w:val="24"/>
          <w:szCs w:val="24"/>
        </w:rPr>
      </w:pPr>
    </w:p>
    <w:p w14:paraId="42692E96" w14:textId="4F2F4172" w:rsidR="007D598B" w:rsidRDefault="007D598B" w:rsidP="007D598B">
      <w:pPr>
        <w:jc w:val="both"/>
        <w:rPr>
          <w:sz w:val="24"/>
          <w:szCs w:val="24"/>
        </w:rPr>
      </w:pPr>
      <w:r>
        <w:rPr>
          <w:sz w:val="24"/>
          <w:szCs w:val="24"/>
        </w:rPr>
        <w:t>Elur</w:t>
      </w:r>
      <w:r w:rsidR="00125BA9">
        <w:rPr>
          <w:sz w:val="24"/>
          <w:szCs w:val="24"/>
        </w:rPr>
        <w:t>uumi alaliste kulude piirmäärad</w:t>
      </w:r>
    </w:p>
    <w:p w14:paraId="582D1964" w14:textId="77777777" w:rsidR="007D598B" w:rsidRDefault="007D598B" w:rsidP="007D598B">
      <w:pPr>
        <w:jc w:val="both"/>
        <w:rPr>
          <w:sz w:val="24"/>
          <w:szCs w:val="24"/>
        </w:rPr>
      </w:pPr>
      <w:r>
        <w:rPr>
          <w:sz w:val="24"/>
          <w:szCs w:val="24"/>
        </w:rPr>
        <w:t>toimetulekutoetuse arvestamisel</w:t>
      </w:r>
    </w:p>
    <w:p w14:paraId="5533F68E" w14:textId="77777777" w:rsidR="007D598B" w:rsidRDefault="007D598B" w:rsidP="007D598B">
      <w:pPr>
        <w:jc w:val="both"/>
        <w:rPr>
          <w:sz w:val="24"/>
          <w:szCs w:val="24"/>
        </w:rPr>
      </w:pPr>
    </w:p>
    <w:p w14:paraId="45868EA3" w14:textId="77777777" w:rsidR="007D598B" w:rsidRDefault="007D598B" w:rsidP="007D598B">
      <w:pPr>
        <w:pStyle w:val="Normaallaadveeb"/>
        <w:spacing w:before="0" w:after="0" w:afterAutospacing="0"/>
      </w:pPr>
    </w:p>
    <w:p w14:paraId="561AD004" w14:textId="77777777" w:rsidR="007D598B" w:rsidRDefault="007D598B" w:rsidP="00125BA9">
      <w:pPr>
        <w:jc w:val="both"/>
        <w:rPr>
          <w:sz w:val="24"/>
          <w:szCs w:val="24"/>
        </w:rPr>
      </w:pPr>
      <w:r>
        <w:rPr>
          <w:sz w:val="24"/>
          <w:szCs w:val="24"/>
        </w:rPr>
        <w:t>Määrus kehtestatakse kohaliku omavalitsuse korralduse seaduse § 22 lõike 1 punkti 5 ja sotsiaalhoolekande seaduse § 133 lõike 6 alusel.</w:t>
      </w:r>
    </w:p>
    <w:p w14:paraId="5DAB0A42" w14:textId="77777777" w:rsidR="007D598B" w:rsidRDefault="007D598B" w:rsidP="00125BA9">
      <w:pPr>
        <w:jc w:val="both"/>
        <w:rPr>
          <w:sz w:val="24"/>
          <w:szCs w:val="24"/>
        </w:rPr>
      </w:pPr>
    </w:p>
    <w:p w14:paraId="05B579E5" w14:textId="77777777" w:rsidR="007D598B" w:rsidRPr="00125BA9" w:rsidRDefault="007D598B" w:rsidP="00125BA9">
      <w:pPr>
        <w:pStyle w:val="Pealkiri3"/>
        <w:tabs>
          <w:tab w:val="left" w:pos="426"/>
        </w:tabs>
        <w:rPr>
          <w:b w:val="0"/>
          <w:i w:val="0"/>
        </w:rPr>
      </w:pPr>
      <w:r w:rsidRPr="00125BA9">
        <w:rPr>
          <w:rStyle w:val="Tugev"/>
          <w:b/>
          <w:i w:val="0"/>
        </w:rPr>
        <w:t xml:space="preserve">§ 1. </w:t>
      </w:r>
      <w:r w:rsidRPr="00125BA9">
        <w:rPr>
          <w:i w:val="0"/>
        </w:rPr>
        <w:t>Üldosa</w:t>
      </w:r>
    </w:p>
    <w:p w14:paraId="1E11F998" w14:textId="67C15140" w:rsidR="007D598B" w:rsidRDefault="007D598B" w:rsidP="00125BA9">
      <w:pPr>
        <w:pStyle w:val="Normaallaadveeb"/>
        <w:numPr>
          <w:ilvl w:val="0"/>
          <w:numId w:val="1"/>
        </w:numPr>
        <w:tabs>
          <w:tab w:val="left" w:pos="426"/>
        </w:tabs>
        <w:spacing w:before="0" w:after="0" w:afterAutospacing="0"/>
        <w:ind w:left="0" w:firstLine="0"/>
        <w:jc w:val="both"/>
      </w:pPr>
      <w:r>
        <w:t>Toimetulekutoetust on õigus saada üksi elaval isikul või perekonnal, kelle kuu netosissetulek pärast sotsiaalhoolekande seaduse § 133 lõigetes 5 ja 6 sätestatud tingimusel arvestatud eluruumi alaliste kulude maha arvamist on alla kehtestatud toimetulekupii</w:t>
      </w:r>
      <w:r w:rsidR="00125BA9">
        <w:t>ri.</w:t>
      </w:r>
    </w:p>
    <w:p w14:paraId="32A106EC" w14:textId="77777777" w:rsidR="007D598B" w:rsidRDefault="007D598B" w:rsidP="00125BA9">
      <w:pPr>
        <w:pStyle w:val="Normaallaadveeb"/>
        <w:numPr>
          <w:ilvl w:val="0"/>
          <w:numId w:val="1"/>
        </w:numPr>
        <w:tabs>
          <w:tab w:val="left" w:pos="426"/>
        </w:tabs>
        <w:spacing w:before="0" w:after="0" w:afterAutospacing="0"/>
        <w:ind w:left="0" w:firstLine="0"/>
        <w:jc w:val="both"/>
      </w:pPr>
      <w:r>
        <w:t>Toimetulekutoetuse määramisel võetakse arvesse elamuseaduse § 7 lõike 1 punkti 2 alusel kehtestatud eluruumi sotsiaalselt põhjendatud normi ulatuses eluruumi tegelikud kulud, kuid mitte üle linnavolikogu poolt käesolevas määruses kehtestatud piirmäärade.</w:t>
      </w:r>
    </w:p>
    <w:p w14:paraId="4D4C6010" w14:textId="77777777" w:rsidR="00125BA9" w:rsidRDefault="00125BA9" w:rsidP="00125BA9">
      <w:pPr>
        <w:tabs>
          <w:tab w:val="left" w:pos="426"/>
        </w:tabs>
        <w:jc w:val="both"/>
        <w:rPr>
          <w:sz w:val="24"/>
          <w:szCs w:val="24"/>
        </w:rPr>
      </w:pPr>
    </w:p>
    <w:p w14:paraId="6693693E" w14:textId="6913C1AD" w:rsidR="007D598B" w:rsidRPr="00125BA9" w:rsidRDefault="007D598B" w:rsidP="00125BA9">
      <w:pPr>
        <w:tabs>
          <w:tab w:val="left" w:pos="426"/>
        </w:tabs>
        <w:jc w:val="both"/>
        <w:rPr>
          <w:b/>
          <w:sz w:val="24"/>
          <w:szCs w:val="24"/>
        </w:rPr>
      </w:pPr>
      <w:r w:rsidRPr="00125BA9">
        <w:rPr>
          <w:b/>
          <w:sz w:val="24"/>
          <w:szCs w:val="24"/>
        </w:rPr>
        <w:t>§ 2. Elur</w:t>
      </w:r>
      <w:r w:rsidR="00125BA9" w:rsidRPr="00125BA9">
        <w:rPr>
          <w:b/>
          <w:sz w:val="24"/>
          <w:szCs w:val="24"/>
        </w:rPr>
        <w:t>uumi alaliste kulude piirmäärad</w:t>
      </w:r>
    </w:p>
    <w:p w14:paraId="403963BD" w14:textId="1E94AEBD" w:rsidR="007D598B" w:rsidRDefault="007D598B" w:rsidP="00125BA9">
      <w:pPr>
        <w:tabs>
          <w:tab w:val="left" w:pos="426"/>
        </w:tabs>
        <w:jc w:val="both"/>
        <w:rPr>
          <w:color w:val="000000" w:themeColor="text1"/>
          <w:sz w:val="24"/>
          <w:szCs w:val="24"/>
        </w:rPr>
      </w:pPr>
      <w:r>
        <w:rPr>
          <w:sz w:val="24"/>
          <w:szCs w:val="24"/>
        </w:rPr>
        <w:t>Kehtestada Viljandi linnas toimetulekutoetuse arvestamisel alalise eluruumi alaliste kulude piirmäärad alates 01.07.2022 järgmiselt:</w:t>
      </w:r>
    </w:p>
    <w:p w14:paraId="74B418EE" w14:textId="77777777" w:rsidR="007D598B" w:rsidRDefault="007D598B" w:rsidP="00125BA9">
      <w:pPr>
        <w:numPr>
          <w:ilvl w:val="0"/>
          <w:numId w:val="2"/>
        </w:numPr>
        <w:tabs>
          <w:tab w:val="left" w:pos="426"/>
        </w:tabs>
        <w:ind w:left="284" w:firstLine="0"/>
        <w:contextualSpacing/>
        <w:jc w:val="both"/>
        <w:rPr>
          <w:color w:val="000000" w:themeColor="text1"/>
          <w:sz w:val="24"/>
          <w:szCs w:val="24"/>
        </w:rPr>
      </w:pPr>
      <w:r>
        <w:rPr>
          <w:color w:val="000000" w:themeColor="text1"/>
          <w:sz w:val="24"/>
          <w:szCs w:val="24"/>
        </w:rPr>
        <w:t>üür kuni 12 eurot ühe normpinna m² kohta kalendrikuus;</w:t>
      </w:r>
    </w:p>
    <w:p w14:paraId="3C2D6968" w14:textId="2719A9D2" w:rsidR="007D598B" w:rsidRDefault="007D598B" w:rsidP="00125BA9">
      <w:pPr>
        <w:pStyle w:val="Loendilik"/>
        <w:numPr>
          <w:ilvl w:val="0"/>
          <w:numId w:val="2"/>
        </w:numPr>
        <w:tabs>
          <w:tab w:val="left" w:pos="426"/>
        </w:tabs>
        <w:autoSpaceDE/>
        <w:ind w:left="284" w:firstLine="0"/>
        <w:jc w:val="both"/>
        <w:rPr>
          <w:sz w:val="24"/>
          <w:szCs w:val="24"/>
        </w:rPr>
      </w:pPr>
      <w:r>
        <w:rPr>
          <w:sz w:val="24"/>
          <w:szCs w:val="24"/>
        </w:rPr>
        <w:t xml:space="preserve">eluaseme soetamiseks </w:t>
      </w:r>
      <w:r w:rsidR="00125BA9">
        <w:rPr>
          <w:sz w:val="24"/>
          <w:szCs w:val="24"/>
        </w:rPr>
        <w:t>võetud laenu tagasimakse (s</w:t>
      </w:r>
      <w:r>
        <w:rPr>
          <w:sz w:val="24"/>
          <w:szCs w:val="24"/>
        </w:rPr>
        <w:t xml:space="preserve">h laenu põhiosa, intress ja kohustuslik varakindlustusmakse) </w:t>
      </w:r>
      <w:r>
        <w:rPr>
          <w:color w:val="000000" w:themeColor="text1"/>
          <w:sz w:val="24"/>
          <w:szCs w:val="24"/>
        </w:rPr>
        <w:t>kuni 12 eurot ühe normpinna m² kohta kalendrikuus</w:t>
      </w:r>
      <w:r w:rsidR="00125BA9">
        <w:rPr>
          <w:color w:val="000000" w:themeColor="text1"/>
          <w:sz w:val="24"/>
          <w:szCs w:val="24"/>
        </w:rPr>
        <w:t>;</w:t>
      </w:r>
    </w:p>
    <w:p w14:paraId="353199DE" w14:textId="5AEBE76A" w:rsidR="007D598B" w:rsidRDefault="007D598B" w:rsidP="00125BA9">
      <w:pPr>
        <w:numPr>
          <w:ilvl w:val="0"/>
          <w:numId w:val="2"/>
        </w:numPr>
        <w:tabs>
          <w:tab w:val="left" w:pos="426"/>
        </w:tabs>
        <w:ind w:left="284" w:firstLine="0"/>
        <w:contextualSpacing/>
        <w:jc w:val="both"/>
        <w:rPr>
          <w:color w:val="000000" w:themeColor="text1"/>
          <w:sz w:val="24"/>
          <w:szCs w:val="24"/>
        </w:rPr>
      </w:pPr>
      <w:r>
        <w:rPr>
          <w:color w:val="000000" w:themeColor="text1"/>
          <w:sz w:val="24"/>
          <w:szCs w:val="24"/>
        </w:rPr>
        <w:t>korterelamu haldamise kulu, sealhulgas remondiga seotud kulu kuni 6 eurot ühe n</w:t>
      </w:r>
      <w:r w:rsidR="00125BA9">
        <w:rPr>
          <w:color w:val="000000" w:themeColor="text1"/>
          <w:sz w:val="24"/>
          <w:szCs w:val="24"/>
        </w:rPr>
        <w:t>ormpinna m² kohta kalendrikuus;</w:t>
      </w:r>
    </w:p>
    <w:p w14:paraId="4AE8A061" w14:textId="77777777" w:rsidR="007D598B" w:rsidRDefault="007D598B" w:rsidP="00125BA9">
      <w:pPr>
        <w:numPr>
          <w:ilvl w:val="0"/>
          <w:numId w:val="2"/>
        </w:numPr>
        <w:tabs>
          <w:tab w:val="left" w:pos="426"/>
        </w:tabs>
        <w:ind w:left="284" w:firstLine="0"/>
        <w:contextualSpacing/>
        <w:jc w:val="both"/>
        <w:rPr>
          <w:color w:val="000000" w:themeColor="text1"/>
          <w:sz w:val="24"/>
          <w:szCs w:val="24"/>
        </w:rPr>
      </w:pPr>
      <w:r>
        <w:rPr>
          <w:color w:val="000000" w:themeColor="text1"/>
          <w:sz w:val="24"/>
          <w:szCs w:val="24"/>
        </w:rPr>
        <w:t>korterelamu renoveerimiseks võetud laenu tagasimakse kuni 6 eurot ühe normpinna m² kohta kalendrikuus;</w:t>
      </w:r>
    </w:p>
    <w:p w14:paraId="595D950F" w14:textId="77777777" w:rsidR="007D598B" w:rsidRDefault="007D598B" w:rsidP="00125BA9">
      <w:pPr>
        <w:numPr>
          <w:ilvl w:val="0"/>
          <w:numId w:val="2"/>
        </w:numPr>
        <w:tabs>
          <w:tab w:val="left" w:pos="426"/>
        </w:tabs>
        <w:ind w:left="284" w:firstLine="0"/>
        <w:contextualSpacing/>
        <w:jc w:val="both"/>
        <w:rPr>
          <w:color w:val="000000" w:themeColor="text1"/>
          <w:sz w:val="24"/>
          <w:szCs w:val="24"/>
        </w:rPr>
      </w:pPr>
      <w:r>
        <w:rPr>
          <w:color w:val="000000" w:themeColor="text1"/>
          <w:sz w:val="24"/>
          <w:szCs w:val="24"/>
        </w:rPr>
        <w:t xml:space="preserve">veevarustuse ja reovee </w:t>
      </w:r>
      <w:proofErr w:type="spellStart"/>
      <w:r>
        <w:rPr>
          <w:color w:val="000000" w:themeColor="text1"/>
          <w:sz w:val="24"/>
          <w:szCs w:val="24"/>
        </w:rPr>
        <w:t>ärajuhtimise</w:t>
      </w:r>
      <w:proofErr w:type="spellEnd"/>
      <w:r>
        <w:rPr>
          <w:color w:val="000000" w:themeColor="text1"/>
          <w:sz w:val="24"/>
          <w:szCs w:val="24"/>
        </w:rPr>
        <w:t xml:space="preserve"> teenuste maksumus kuni 5 m³ ühe elaniku kohta kalendrikuus;</w:t>
      </w:r>
    </w:p>
    <w:p w14:paraId="762C48E5" w14:textId="77777777" w:rsidR="007D598B" w:rsidRDefault="007D598B" w:rsidP="00125BA9">
      <w:pPr>
        <w:numPr>
          <w:ilvl w:val="0"/>
          <w:numId w:val="2"/>
        </w:numPr>
        <w:tabs>
          <w:tab w:val="left" w:pos="426"/>
        </w:tabs>
        <w:ind w:left="284" w:firstLine="0"/>
        <w:contextualSpacing/>
        <w:jc w:val="both"/>
        <w:rPr>
          <w:color w:val="000000" w:themeColor="text1"/>
          <w:sz w:val="24"/>
          <w:szCs w:val="24"/>
        </w:rPr>
      </w:pPr>
      <w:r>
        <w:rPr>
          <w:color w:val="000000" w:themeColor="text1"/>
          <w:sz w:val="24"/>
          <w:szCs w:val="24"/>
        </w:rPr>
        <w:t>soojaveevarustuseks tarbitud soojusenergia või kütuse maksumus kuni 25 eurot ühe elaniku kohta kalendrikuus;</w:t>
      </w:r>
    </w:p>
    <w:p w14:paraId="1BF58157" w14:textId="28F68089" w:rsidR="007D598B" w:rsidRDefault="007D598B" w:rsidP="00125BA9">
      <w:pPr>
        <w:numPr>
          <w:ilvl w:val="0"/>
          <w:numId w:val="2"/>
        </w:numPr>
        <w:tabs>
          <w:tab w:val="left" w:pos="426"/>
        </w:tabs>
        <w:ind w:left="284" w:firstLine="0"/>
        <w:contextualSpacing/>
        <w:jc w:val="both"/>
        <w:rPr>
          <w:sz w:val="24"/>
          <w:szCs w:val="24"/>
        </w:rPr>
      </w:pPr>
      <w:r>
        <w:rPr>
          <w:color w:val="000000" w:themeColor="text1"/>
          <w:sz w:val="24"/>
          <w:szCs w:val="24"/>
        </w:rPr>
        <w:t xml:space="preserve">kütteks tarbitud soojusenergia või kütuse maksumus (arvesse võetakse vaid ühte kütteliiki): </w:t>
      </w:r>
      <w:r>
        <w:rPr>
          <w:sz w:val="24"/>
          <w:szCs w:val="24"/>
        </w:rPr>
        <w:t xml:space="preserve">kaugküttega, kaugkütteta ja elektriküttega eluruumide puhul </w:t>
      </w:r>
      <w:r w:rsidR="00125BA9">
        <w:rPr>
          <w:color w:val="000000" w:themeColor="text1"/>
          <w:sz w:val="24"/>
          <w:szCs w:val="24"/>
        </w:rPr>
        <w:t xml:space="preserve">olenemata kütuseliigist kuni 9 eurot ühe </w:t>
      </w:r>
      <w:r>
        <w:rPr>
          <w:color w:val="000000" w:themeColor="text1"/>
          <w:sz w:val="24"/>
          <w:szCs w:val="24"/>
        </w:rPr>
        <w:t xml:space="preserve">normpinna m² kohta kalendrikuus. Kaugkütteta eluruumis mitte rohkem kui 1000 eurot kalendriaastas. </w:t>
      </w:r>
      <w:r>
        <w:rPr>
          <w:sz w:val="24"/>
          <w:szCs w:val="24"/>
        </w:rPr>
        <w:t xml:space="preserve">Kütuse ostmisel arvestatakse toimetulekuarvestuse sisse kuludokumendid, mis on ostetud taotluse esitamise eelsel või taotluse esitamise kalendrikuul; </w:t>
      </w:r>
    </w:p>
    <w:p w14:paraId="346F9BBB" w14:textId="77777777" w:rsidR="007D598B" w:rsidRDefault="007D598B" w:rsidP="00125BA9">
      <w:pPr>
        <w:numPr>
          <w:ilvl w:val="0"/>
          <w:numId w:val="2"/>
        </w:numPr>
        <w:tabs>
          <w:tab w:val="left" w:pos="426"/>
        </w:tabs>
        <w:ind w:left="284" w:firstLine="0"/>
        <w:contextualSpacing/>
        <w:jc w:val="both"/>
        <w:rPr>
          <w:sz w:val="24"/>
          <w:szCs w:val="24"/>
        </w:rPr>
      </w:pPr>
      <w:r>
        <w:rPr>
          <w:sz w:val="24"/>
          <w:szCs w:val="24"/>
        </w:rPr>
        <w:t>elektrienergia tarbimisega seotud kulu kuni 60 eurot üheliikmelise pere kohta kalendrikuus ning kuni 45 eurot iga järgneva pereliikme kohta kalendrikuus;</w:t>
      </w:r>
    </w:p>
    <w:p w14:paraId="38B62675" w14:textId="77777777" w:rsidR="007D598B" w:rsidRDefault="007D598B" w:rsidP="00125BA9">
      <w:pPr>
        <w:numPr>
          <w:ilvl w:val="0"/>
          <w:numId w:val="2"/>
        </w:numPr>
        <w:tabs>
          <w:tab w:val="left" w:pos="426"/>
        </w:tabs>
        <w:ind w:left="284" w:firstLine="0"/>
        <w:contextualSpacing/>
        <w:jc w:val="both"/>
        <w:rPr>
          <w:sz w:val="24"/>
          <w:szCs w:val="24"/>
        </w:rPr>
      </w:pPr>
      <w:r>
        <w:rPr>
          <w:sz w:val="24"/>
          <w:szCs w:val="24"/>
        </w:rPr>
        <w:lastRenderedPageBreak/>
        <w:t>majapidamisgaasi ühe ballooni maksumus perekonna kohta 2 kalendrikuu jooksul;</w:t>
      </w:r>
    </w:p>
    <w:p w14:paraId="3EEE21F5" w14:textId="77777777" w:rsidR="007D598B" w:rsidRDefault="007D598B" w:rsidP="00125BA9">
      <w:pPr>
        <w:numPr>
          <w:ilvl w:val="0"/>
          <w:numId w:val="2"/>
        </w:numPr>
        <w:tabs>
          <w:tab w:val="left" w:pos="426"/>
        </w:tabs>
        <w:ind w:left="284" w:firstLine="0"/>
        <w:contextualSpacing/>
        <w:jc w:val="both"/>
        <w:rPr>
          <w:sz w:val="24"/>
          <w:szCs w:val="24"/>
        </w:rPr>
      </w:pPr>
      <w:r>
        <w:rPr>
          <w:sz w:val="24"/>
          <w:szCs w:val="24"/>
        </w:rPr>
        <w:t>maamaksukulud kolmekordse eluruumi normpinna ulatuses kalendriaastas;</w:t>
      </w:r>
    </w:p>
    <w:p w14:paraId="50998A78" w14:textId="1036750A" w:rsidR="007D598B" w:rsidRDefault="007D598B" w:rsidP="00125BA9">
      <w:pPr>
        <w:numPr>
          <w:ilvl w:val="0"/>
          <w:numId w:val="2"/>
        </w:numPr>
        <w:tabs>
          <w:tab w:val="left" w:pos="426"/>
        </w:tabs>
        <w:ind w:left="284" w:firstLine="0"/>
        <w:contextualSpacing/>
        <w:jc w:val="both"/>
        <w:rPr>
          <w:sz w:val="24"/>
          <w:szCs w:val="24"/>
        </w:rPr>
      </w:pPr>
      <w:r>
        <w:rPr>
          <w:sz w:val="24"/>
          <w:szCs w:val="24"/>
        </w:rPr>
        <w:t>hoone kindlustuse kulud kuni 0,50 eurot eluruumi ühe n</w:t>
      </w:r>
      <w:r w:rsidR="00125BA9">
        <w:rPr>
          <w:sz w:val="24"/>
          <w:szCs w:val="24"/>
        </w:rPr>
        <w:t>ormpinna m² kohta kalendrikuus;</w:t>
      </w:r>
    </w:p>
    <w:p w14:paraId="2D620EF6" w14:textId="77777777" w:rsidR="007D598B" w:rsidRDefault="007D598B" w:rsidP="00125BA9">
      <w:pPr>
        <w:numPr>
          <w:ilvl w:val="0"/>
          <w:numId w:val="2"/>
        </w:numPr>
        <w:tabs>
          <w:tab w:val="left" w:pos="426"/>
        </w:tabs>
        <w:ind w:left="284" w:firstLine="0"/>
        <w:contextualSpacing/>
        <w:jc w:val="both"/>
        <w:rPr>
          <w:sz w:val="24"/>
          <w:szCs w:val="24"/>
        </w:rPr>
      </w:pPr>
      <w:r>
        <w:rPr>
          <w:sz w:val="24"/>
          <w:szCs w:val="24"/>
        </w:rPr>
        <w:t>olmejäätmete veo kulud kuni 10 eurot ühe elaniku kohta kalendrikuus.</w:t>
      </w:r>
    </w:p>
    <w:p w14:paraId="25E4C664" w14:textId="77777777" w:rsidR="007D598B" w:rsidRDefault="007D598B" w:rsidP="00125BA9">
      <w:pPr>
        <w:tabs>
          <w:tab w:val="left" w:pos="426"/>
          <w:tab w:val="num" w:pos="567"/>
        </w:tabs>
        <w:ind w:left="284"/>
        <w:jc w:val="both"/>
        <w:rPr>
          <w:sz w:val="24"/>
          <w:szCs w:val="24"/>
        </w:rPr>
      </w:pPr>
    </w:p>
    <w:p w14:paraId="549BA7B2" w14:textId="77777777" w:rsidR="007D598B" w:rsidRDefault="007D598B" w:rsidP="00125BA9">
      <w:pPr>
        <w:tabs>
          <w:tab w:val="left" w:pos="426"/>
          <w:tab w:val="num" w:pos="567"/>
        </w:tabs>
        <w:jc w:val="both"/>
        <w:rPr>
          <w:sz w:val="24"/>
          <w:szCs w:val="24"/>
        </w:rPr>
      </w:pPr>
      <w:r w:rsidRPr="00125BA9">
        <w:rPr>
          <w:b/>
          <w:sz w:val="24"/>
          <w:szCs w:val="24"/>
        </w:rPr>
        <w:t>§ 3.</w:t>
      </w:r>
      <w:r>
        <w:rPr>
          <w:sz w:val="24"/>
          <w:szCs w:val="24"/>
        </w:rPr>
        <w:t xml:space="preserve"> Tunnistada kehtetuks Viljandi Linnavolikogu 26.11.2020 määrus nr 92 “Eluruumi alaliste kulude piirmäärade kehtestamine toimetulekutoetuse määramisel”.</w:t>
      </w:r>
    </w:p>
    <w:p w14:paraId="727D286F" w14:textId="77777777" w:rsidR="007D598B" w:rsidRDefault="007D598B" w:rsidP="00125BA9">
      <w:pPr>
        <w:jc w:val="both"/>
        <w:rPr>
          <w:sz w:val="24"/>
          <w:szCs w:val="24"/>
        </w:rPr>
      </w:pPr>
    </w:p>
    <w:p w14:paraId="4685232F" w14:textId="77777777" w:rsidR="007D598B" w:rsidRDefault="007D598B" w:rsidP="00125BA9">
      <w:pPr>
        <w:rPr>
          <w:sz w:val="24"/>
          <w:szCs w:val="24"/>
        </w:rPr>
      </w:pPr>
      <w:r w:rsidRPr="00125BA9">
        <w:rPr>
          <w:b/>
          <w:sz w:val="24"/>
          <w:szCs w:val="24"/>
        </w:rPr>
        <w:t>§ 4.</w:t>
      </w:r>
      <w:r>
        <w:rPr>
          <w:sz w:val="24"/>
          <w:szCs w:val="24"/>
        </w:rPr>
        <w:t xml:space="preserve"> Määrus jõustub kolmandal päeval pärast avaldamist Riigi Teatajas.</w:t>
      </w:r>
    </w:p>
    <w:p w14:paraId="7CA39B76" w14:textId="77777777" w:rsidR="007D598B" w:rsidRDefault="007D598B" w:rsidP="007D598B">
      <w:pPr>
        <w:jc w:val="both"/>
        <w:rPr>
          <w:sz w:val="24"/>
          <w:szCs w:val="24"/>
        </w:rPr>
      </w:pPr>
    </w:p>
    <w:p w14:paraId="2B8FF275" w14:textId="77777777" w:rsidR="007D598B" w:rsidRDefault="007D598B" w:rsidP="007D598B">
      <w:pPr>
        <w:rPr>
          <w:sz w:val="24"/>
          <w:szCs w:val="24"/>
        </w:rPr>
      </w:pPr>
    </w:p>
    <w:p w14:paraId="4C553E42" w14:textId="77777777" w:rsidR="007D598B" w:rsidRDefault="007D598B" w:rsidP="007D598B">
      <w:pPr>
        <w:rPr>
          <w:sz w:val="24"/>
          <w:szCs w:val="24"/>
        </w:rPr>
      </w:pPr>
      <w:r>
        <w:rPr>
          <w:sz w:val="24"/>
          <w:szCs w:val="24"/>
        </w:rPr>
        <w:t>(allkirjastatud digitaalselt)</w:t>
      </w:r>
    </w:p>
    <w:p w14:paraId="7D4235F3" w14:textId="77777777" w:rsidR="007D598B" w:rsidRDefault="007D598B" w:rsidP="007D598B">
      <w:pPr>
        <w:rPr>
          <w:color w:val="333333"/>
          <w:sz w:val="24"/>
          <w:szCs w:val="24"/>
        </w:rPr>
      </w:pPr>
      <w:proofErr w:type="spellStart"/>
      <w:r>
        <w:rPr>
          <w:color w:val="333333"/>
          <w:sz w:val="24"/>
          <w:szCs w:val="24"/>
        </w:rPr>
        <w:t>Helmen</w:t>
      </w:r>
      <w:proofErr w:type="spellEnd"/>
      <w:r>
        <w:rPr>
          <w:color w:val="333333"/>
          <w:sz w:val="24"/>
          <w:szCs w:val="24"/>
        </w:rPr>
        <w:t xml:space="preserve"> Kütt</w:t>
      </w:r>
    </w:p>
    <w:p w14:paraId="701CB285" w14:textId="77777777" w:rsidR="007D598B" w:rsidRDefault="007D598B" w:rsidP="007D598B">
      <w:pPr>
        <w:rPr>
          <w:sz w:val="24"/>
          <w:szCs w:val="24"/>
        </w:rPr>
      </w:pPr>
      <w:r>
        <w:rPr>
          <w:sz w:val="24"/>
          <w:szCs w:val="24"/>
        </w:rPr>
        <w:t>linnavolikogu esimees</w:t>
      </w:r>
    </w:p>
    <w:p w14:paraId="17F99347" w14:textId="77777777" w:rsidR="007D598B" w:rsidRDefault="007D598B" w:rsidP="007D598B">
      <w:pPr>
        <w:jc w:val="both"/>
        <w:rPr>
          <w:sz w:val="24"/>
          <w:szCs w:val="24"/>
        </w:rPr>
      </w:pPr>
    </w:p>
    <w:p w14:paraId="5C93C11D" w14:textId="77777777" w:rsidR="007D598B" w:rsidRDefault="007D598B" w:rsidP="007D598B">
      <w:pPr>
        <w:jc w:val="both"/>
        <w:rPr>
          <w:sz w:val="24"/>
          <w:szCs w:val="24"/>
        </w:rPr>
      </w:pPr>
    </w:p>
    <w:p w14:paraId="2B6469D3" w14:textId="77777777" w:rsidR="007D598B" w:rsidRDefault="007D598B" w:rsidP="007D598B">
      <w:pPr>
        <w:pStyle w:val="Pealkiri1"/>
        <w:jc w:val="both"/>
        <w:rPr>
          <w:b w:val="0"/>
          <w:bCs w:val="0"/>
          <w:sz w:val="24"/>
          <w:szCs w:val="24"/>
        </w:rPr>
      </w:pPr>
      <w:r>
        <w:rPr>
          <w:sz w:val="24"/>
          <w:szCs w:val="24"/>
        </w:rPr>
        <w:t xml:space="preserve">Koostaja(d): </w:t>
      </w:r>
      <w:r>
        <w:rPr>
          <w:b w:val="0"/>
          <w:sz w:val="24"/>
          <w:szCs w:val="24"/>
        </w:rPr>
        <w:t>Karin Kiis</w:t>
      </w:r>
    </w:p>
    <w:p w14:paraId="463C99E5" w14:textId="7516C13C" w:rsidR="007D598B" w:rsidRDefault="007D598B" w:rsidP="007D598B">
      <w:pPr>
        <w:jc w:val="both"/>
        <w:rPr>
          <w:bCs/>
          <w:sz w:val="24"/>
          <w:szCs w:val="24"/>
        </w:rPr>
      </w:pPr>
      <w:r>
        <w:rPr>
          <w:b/>
          <w:bCs/>
          <w:sz w:val="24"/>
          <w:szCs w:val="24"/>
        </w:rPr>
        <w:t xml:space="preserve">Esitatud: </w:t>
      </w:r>
      <w:r w:rsidR="00125BA9" w:rsidRPr="00125BA9">
        <w:rPr>
          <w:bCs/>
          <w:sz w:val="24"/>
          <w:szCs w:val="24"/>
        </w:rPr>
        <w:t>30.05.2022</w:t>
      </w:r>
    </w:p>
    <w:p w14:paraId="1DE8C2A8" w14:textId="77777777" w:rsidR="007D598B" w:rsidRDefault="007D598B" w:rsidP="007D598B">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Pr>
          <w:sz w:val="24"/>
          <w:szCs w:val="24"/>
        </w:rPr>
        <w:t>Kristjan Mändmaa</w:t>
      </w:r>
      <w:r>
        <w:rPr>
          <w:color w:val="4D5156"/>
          <w:sz w:val="24"/>
          <w:szCs w:val="24"/>
          <w:shd w:val="clear" w:color="auto" w:fill="FFFFFF"/>
        </w:rPr>
        <w:t> </w:t>
      </w:r>
    </w:p>
    <w:p w14:paraId="0580600E" w14:textId="05000353" w:rsidR="007D598B" w:rsidRDefault="007D598B" w:rsidP="007D598B">
      <w:pPr>
        <w:jc w:val="both"/>
        <w:rPr>
          <w:sz w:val="24"/>
          <w:szCs w:val="24"/>
        </w:rPr>
      </w:pPr>
      <w:r>
        <w:rPr>
          <w:b/>
          <w:sz w:val="24"/>
          <w:szCs w:val="24"/>
        </w:rPr>
        <w:t xml:space="preserve">Lk arv: </w:t>
      </w:r>
      <w:r w:rsidR="00125BA9" w:rsidRPr="00125BA9">
        <w:rPr>
          <w:sz w:val="24"/>
          <w:szCs w:val="24"/>
        </w:rPr>
        <w:t>5</w:t>
      </w:r>
    </w:p>
    <w:p w14:paraId="28F1B554" w14:textId="713C08B8" w:rsidR="007D598B" w:rsidRDefault="007D598B" w:rsidP="007D598B">
      <w:pPr>
        <w:jc w:val="both"/>
        <w:rPr>
          <w:sz w:val="24"/>
          <w:szCs w:val="24"/>
        </w:rPr>
      </w:pPr>
      <w:r>
        <w:rPr>
          <w:b/>
          <w:sz w:val="24"/>
          <w:szCs w:val="24"/>
        </w:rPr>
        <w:t>Hääletamine:</w:t>
      </w:r>
      <w:r>
        <w:rPr>
          <w:bCs/>
          <w:sz w:val="24"/>
          <w:szCs w:val="24"/>
        </w:rPr>
        <w:t xml:space="preserve"> </w:t>
      </w:r>
      <w:r w:rsidR="00125BA9">
        <w:rPr>
          <w:bCs/>
          <w:sz w:val="24"/>
          <w:szCs w:val="24"/>
        </w:rPr>
        <w:t>p</w:t>
      </w:r>
      <w:r>
        <w:rPr>
          <w:bCs/>
          <w:sz w:val="24"/>
          <w:szCs w:val="24"/>
        </w:rPr>
        <w:t>oolthäälteenamus</w:t>
      </w:r>
    </w:p>
    <w:p w14:paraId="5BC632DA" w14:textId="77777777" w:rsidR="007D598B" w:rsidRDefault="007D598B" w:rsidP="007D598B">
      <w:pPr>
        <w:jc w:val="center"/>
        <w:rPr>
          <w:sz w:val="24"/>
          <w:szCs w:val="24"/>
        </w:rPr>
      </w:pPr>
      <w:r>
        <w:rPr>
          <w:sz w:val="24"/>
          <w:szCs w:val="24"/>
        </w:rPr>
        <w:br w:type="page"/>
      </w:r>
      <w:r>
        <w:rPr>
          <w:sz w:val="24"/>
          <w:szCs w:val="24"/>
        </w:rPr>
        <w:lastRenderedPageBreak/>
        <w:t>Seletuskiri</w:t>
      </w:r>
    </w:p>
    <w:p w14:paraId="6E46C222" w14:textId="27275DD3" w:rsidR="007D598B" w:rsidRDefault="007D598B" w:rsidP="00125BA9">
      <w:pPr>
        <w:jc w:val="center"/>
        <w:rPr>
          <w:b/>
          <w:color w:val="000000" w:themeColor="text1"/>
          <w:sz w:val="24"/>
          <w:szCs w:val="24"/>
        </w:rPr>
      </w:pPr>
      <w:r>
        <w:rPr>
          <w:b/>
          <w:color w:val="000000" w:themeColor="text1"/>
          <w:sz w:val="24"/>
          <w:szCs w:val="24"/>
        </w:rPr>
        <w:t>Eluruumi alaliste kulude piirmäärad toimetulekutoetuse arvestamisel</w:t>
      </w:r>
    </w:p>
    <w:p w14:paraId="2B928E6F" w14:textId="77777777" w:rsidR="007D598B" w:rsidRDefault="007D598B" w:rsidP="007D598B">
      <w:pPr>
        <w:jc w:val="both"/>
        <w:rPr>
          <w:color w:val="000000" w:themeColor="text1"/>
          <w:sz w:val="24"/>
          <w:szCs w:val="24"/>
        </w:rPr>
      </w:pPr>
    </w:p>
    <w:p w14:paraId="306F0A5F" w14:textId="77777777" w:rsidR="007D598B" w:rsidRDefault="007D598B" w:rsidP="007D598B">
      <w:pPr>
        <w:jc w:val="both"/>
        <w:rPr>
          <w:color w:val="000000" w:themeColor="text1"/>
          <w:sz w:val="24"/>
          <w:szCs w:val="24"/>
        </w:rPr>
      </w:pPr>
    </w:p>
    <w:p w14:paraId="2EEDB462" w14:textId="479B50BD" w:rsidR="007D598B" w:rsidRDefault="007D598B" w:rsidP="007D598B">
      <w:pPr>
        <w:jc w:val="both"/>
        <w:rPr>
          <w:color w:val="000000" w:themeColor="text1"/>
          <w:sz w:val="24"/>
          <w:szCs w:val="24"/>
        </w:rPr>
      </w:pPr>
      <w:r>
        <w:rPr>
          <w:color w:val="000000" w:themeColor="text1"/>
          <w:sz w:val="24"/>
          <w:szCs w:val="24"/>
        </w:rPr>
        <w:t>Eelnõu eesmärk on tagada riigi poolt kehtestatud toimetulekupiir t</w:t>
      </w:r>
      <w:r w:rsidR="00125BA9">
        <w:rPr>
          <w:color w:val="000000" w:themeColor="text1"/>
          <w:sz w:val="24"/>
          <w:szCs w:val="24"/>
        </w:rPr>
        <w:t>oimetulekutoetuse taotlejatele.</w:t>
      </w:r>
    </w:p>
    <w:p w14:paraId="702DCD38" w14:textId="03ACA4D4" w:rsidR="007D598B" w:rsidRDefault="007D598B" w:rsidP="007D598B">
      <w:pPr>
        <w:pStyle w:val="Normaallaadveeb"/>
        <w:spacing w:before="0" w:after="0" w:afterAutospacing="0"/>
        <w:jc w:val="both"/>
        <w:rPr>
          <w:color w:val="000000" w:themeColor="text1"/>
        </w:rPr>
      </w:pPr>
      <w:bookmarkStart w:id="1" w:name="para22lg1"/>
      <w:r>
        <w:rPr>
          <w:color w:val="000000" w:themeColor="text1"/>
        </w:rPr>
        <w:t xml:space="preserve">Kohaliku omavalitsuse korralduse seaduse </w:t>
      </w:r>
      <w:r w:rsidRPr="007D598B">
        <w:rPr>
          <w:rStyle w:val="Tugev"/>
          <w:b w:val="0"/>
          <w:color w:val="000000" w:themeColor="text1"/>
        </w:rPr>
        <w:t>§ 22 lõike</w:t>
      </w:r>
      <w:bookmarkEnd w:id="1"/>
      <w:r w:rsidR="00125BA9">
        <w:rPr>
          <w:b/>
          <w:color w:val="000000" w:themeColor="text1"/>
        </w:rPr>
        <w:t xml:space="preserve"> </w:t>
      </w:r>
      <w:r w:rsidRPr="007D598B">
        <w:rPr>
          <w:color w:val="000000" w:themeColor="text1"/>
        </w:rPr>
        <w:t>1</w:t>
      </w:r>
      <w:r>
        <w:rPr>
          <w:color w:val="000000" w:themeColor="text1"/>
        </w:rPr>
        <w:t xml:space="preserve"> punkti 5 kohaselt kuulub volikogu ainupädevusse </w:t>
      </w:r>
      <w:bookmarkStart w:id="2" w:name="para22lg1p1"/>
      <w:bookmarkEnd w:id="2"/>
      <w:r>
        <w:rPr>
          <w:color w:val="000000" w:themeColor="text1"/>
        </w:rPr>
        <w:t xml:space="preserve">toetuste andmise ja valla või linna eelarvest finantseeritavate teenuste osutamise korra kehtestamine. Toimetulekutoetus on riiklik toetus, kuid </w:t>
      </w:r>
      <w:r w:rsidRPr="007D598B">
        <w:rPr>
          <w:rStyle w:val="Tugev"/>
          <w:b w:val="0"/>
          <w:color w:val="000000" w:themeColor="text1"/>
        </w:rPr>
        <w:t>sotsiaalhoolekande</w:t>
      </w:r>
      <w:r w:rsidRPr="007D598B">
        <w:rPr>
          <w:rStyle w:val="Tugev"/>
          <w:b w:val="0"/>
          <w:bCs w:val="0"/>
          <w:color w:val="000000" w:themeColor="text1"/>
        </w:rPr>
        <w:t xml:space="preserve"> </w:t>
      </w:r>
      <w:r w:rsidRPr="007D598B">
        <w:rPr>
          <w:rStyle w:val="Tugev"/>
          <w:b w:val="0"/>
          <w:color w:val="000000" w:themeColor="text1"/>
        </w:rPr>
        <w:t>seaduse</w:t>
      </w:r>
      <w:r>
        <w:rPr>
          <w:rStyle w:val="Tugev"/>
          <w:color w:val="000000" w:themeColor="text1"/>
        </w:rPr>
        <w:t xml:space="preserve"> </w:t>
      </w:r>
      <w:r>
        <w:rPr>
          <w:rStyle w:val="Tugev"/>
          <w:b w:val="0"/>
          <w:bCs w:val="0"/>
          <w:color w:val="000000" w:themeColor="text1"/>
        </w:rPr>
        <w:t xml:space="preserve">(SHS) </w:t>
      </w:r>
      <w:r w:rsidR="00125BA9">
        <w:rPr>
          <w:rStyle w:val="Tugev"/>
          <w:b w:val="0"/>
          <w:color w:val="000000" w:themeColor="text1"/>
        </w:rPr>
        <w:t>§ </w:t>
      </w:r>
      <w:r w:rsidRPr="007D598B">
        <w:rPr>
          <w:rStyle w:val="Tugev"/>
          <w:b w:val="0"/>
          <w:color w:val="000000" w:themeColor="text1"/>
        </w:rPr>
        <w:t>133</w:t>
      </w:r>
      <w:r w:rsidR="00125BA9">
        <w:rPr>
          <w:rStyle w:val="Tugev"/>
          <w:b w:val="0"/>
          <w:color w:val="000000" w:themeColor="text1"/>
        </w:rPr>
        <w:t xml:space="preserve"> </w:t>
      </w:r>
      <w:r>
        <w:rPr>
          <w:color w:val="000000" w:themeColor="text1"/>
        </w:rPr>
        <w:t>lõige 6 näeb ette, et kohaliku omavalitsuse volikogu kehtestab toimetulekutoetuse määramiseks sama paragrahvi lõikes 5 nimetatud kulude piirmäärad, mis tagavad isiku inimväärse äraelamise.</w:t>
      </w:r>
    </w:p>
    <w:p w14:paraId="2826D156" w14:textId="77777777" w:rsidR="007D598B" w:rsidRDefault="007D598B" w:rsidP="007D598B">
      <w:pPr>
        <w:pStyle w:val="Normaallaadveeb"/>
        <w:spacing w:before="0" w:after="0" w:afterAutospacing="0"/>
        <w:jc w:val="both"/>
        <w:rPr>
          <w:color w:val="000000" w:themeColor="text1"/>
        </w:rPr>
      </w:pPr>
    </w:p>
    <w:p w14:paraId="74398A9C" w14:textId="77777777" w:rsidR="007D598B" w:rsidRDefault="007D598B" w:rsidP="007D598B">
      <w:pPr>
        <w:jc w:val="both"/>
        <w:rPr>
          <w:sz w:val="24"/>
          <w:szCs w:val="24"/>
        </w:rPr>
      </w:pPr>
      <w:r>
        <w:rPr>
          <w:sz w:val="24"/>
          <w:szCs w:val="24"/>
        </w:rPr>
        <w:t>SHS § 133 lg 5 Arvestades käesoleva paragrahvi lõike 6 alusel kehtestatud piirmäärasid ja elamuseaduse § 7 lõike 1 punkti 2 alusel kehtestatud eluruumi sotsiaalselt põhjendatud normi või perekonnaliikmete arvu, võetakse toimetulekutoetuse arvestamisel arvesse järgmised jooksval kuul tasumisele kuuluvad eluasemekulud:</w:t>
      </w:r>
    </w:p>
    <w:p w14:paraId="5E876F9E" w14:textId="77777777" w:rsidR="007D598B" w:rsidRDefault="007D598B" w:rsidP="007D598B">
      <w:pPr>
        <w:pStyle w:val="Loendilik"/>
        <w:numPr>
          <w:ilvl w:val="0"/>
          <w:numId w:val="3"/>
        </w:numPr>
        <w:jc w:val="both"/>
        <w:rPr>
          <w:sz w:val="24"/>
          <w:szCs w:val="24"/>
        </w:rPr>
      </w:pPr>
      <w:r>
        <w:rPr>
          <w:sz w:val="24"/>
          <w:szCs w:val="24"/>
        </w:rPr>
        <w:t>üür;</w:t>
      </w:r>
    </w:p>
    <w:p w14:paraId="0CD1DE70" w14:textId="77777777" w:rsidR="007D598B" w:rsidRDefault="007D598B" w:rsidP="007D598B">
      <w:pPr>
        <w:pStyle w:val="Loendilik"/>
        <w:numPr>
          <w:ilvl w:val="0"/>
          <w:numId w:val="3"/>
        </w:numPr>
        <w:jc w:val="both"/>
        <w:rPr>
          <w:sz w:val="24"/>
          <w:szCs w:val="24"/>
        </w:rPr>
      </w:pPr>
      <w:r>
        <w:rPr>
          <w:sz w:val="24"/>
          <w:szCs w:val="24"/>
        </w:rPr>
        <w:t>korterelamu haldamise kulu, sealhulgas remondiga seotud kulu;</w:t>
      </w:r>
    </w:p>
    <w:p w14:paraId="6A4F2096" w14:textId="77777777" w:rsidR="007D598B" w:rsidRDefault="007D598B" w:rsidP="007D598B">
      <w:pPr>
        <w:pStyle w:val="Loendilik"/>
        <w:numPr>
          <w:ilvl w:val="0"/>
          <w:numId w:val="3"/>
        </w:numPr>
        <w:jc w:val="both"/>
        <w:rPr>
          <w:sz w:val="24"/>
          <w:szCs w:val="24"/>
        </w:rPr>
      </w:pPr>
      <w:r>
        <w:rPr>
          <w:sz w:val="24"/>
          <w:szCs w:val="24"/>
        </w:rPr>
        <w:t>korterelamu renoveerimiseks võetud laenu tagasimakse;</w:t>
      </w:r>
    </w:p>
    <w:p w14:paraId="78A219A4" w14:textId="77777777" w:rsidR="007D598B" w:rsidRDefault="007D598B" w:rsidP="007D598B">
      <w:pPr>
        <w:pStyle w:val="Loendilik"/>
        <w:numPr>
          <w:ilvl w:val="0"/>
          <w:numId w:val="3"/>
        </w:numPr>
        <w:jc w:val="both"/>
        <w:rPr>
          <w:sz w:val="24"/>
          <w:szCs w:val="24"/>
        </w:rPr>
      </w:pPr>
      <w:r>
        <w:rPr>
          <w:sz w:val="24"/>
          <w:szCs w:val="24"/>
        </w:rPr>
        <w:t xml:space="preserve">veevarustuse ja reovee </w:t>
      </w:r>
      <w:proofErr w:type="spellStart"/>
      <w:r>
        <w:rPr>
          <w:sz w:val="24"/>
          <w:szCs w:val="24"/>
        </w:rPr>
        <w:t>ärajuhtimise</w:t>
      </w:r>
      <w:proofErr w:type="spellEnd"/>
      <w:r>
        <w:rPr>
          <w:sz w:val="24"/>
          <w:szCs w:val="24"/>
        </w:rPr>
        <w:t xml:space="preserve"> teenuste maksumus;</w:t>
      </w:r>
    </w:p>
    <w:p w14:paraId="7DBEB225" w14:textId="77777777" w:rsidR="007D598B" w:rsidRDefault="007D598B" w:rsidP="007D598B">
      <w:pPr>
        <w:pStyle w:val="Loendilik"/>
        <w:numPr>
          <w:ilvl w:val="0"/>
          <w:numId w:val="3"/>
        </w:numPr>
        <w:jc w:val="both"/>
        <w:rPr>
          <w:sz w:val="24"/>
          <w:szCs w:val="24"/>
        </w:rPr>
      </w:pPr>
      <w:r>
        <w:rPr>
          <w:sz w:val="24"/>
          <w:szCs w:val="24"/>
        </w:rPr>
        <w:t>soojaveevarustuseks tarbitud soojusenergia või kütuse maksumus;</w:t>
      </w:r>
    </w:p>
    <w:p w14:paraId="17C5222A" w14:textId="77777777" w:rsidR="007D598B" w:rsidRDefault="007D598B" w:rsidP="007D598B">
      <w:pPr>
        <w:pStyle w:val="Loendilik"/>
        <w:numPr>
          <w:ilvl w:val="0"/>
          <w:numId w:val="3"/>
        </w:numPr>
        <w:jc w:val="both"/>
        <w:rPr>
          <w:sz w:val="24"/>
          <w:szCs w:val="24"/>
        </w:rPr>
      </w:pPr>
      <w:r>
        <w:rPr>
          <w:sz w:val="24"/>
          <w:szCs w:val="24"/>
        </w:rPr>
        <w:t>kütteks tarbitud soojusenergia või kütuse maksumus;</w:t>
      </w:r>
    </w:p>
    <w:p w14:paraId="00BC6E51" w14:textId="77777777" w:rsidR="007D598B" w:rsidRDefault="007D598B" w:rsidP="007D598B">
      <w:pPr>
        <w:pStyle w:val="Loendilik"/>
        <w:numPr>
          <w:ilvl w:val="0"/>
          <w:numId w:val="3"/>
        </w:numPr>
        <w:jc w:val="both"/>
        <w:rPr>
          <w:sz w:val="24"/>
          <w:szCs w:val="24"/>
        </w:rPr>
      </w:pPr>
      <w:r>
        <w:rPr>
          <w:sz w:val="24"/>
          <w:szCs w:val="24"/>
        </w:rPr>
        <w:t>elektrienergia tarbimisega seotud kulu;</w:t>
      </w:r>
    </w:p>
    <w:p w14:paraId="57E0D0B9" w14:textId="77777777" w:rsidR="007D598B" w:rsidRDefault="007D598B" w:rsidP="007D598B">
      <w:pPr>
        <w:pStyle w:val="Loendilik"/>
        <w:numPr>
          <w:ilvl w:val="0"/>
          <w:numId w:val="3"/>
        </w:numPr>
        <w:jc w:val="both"/>
        <w:rPr>
          <w:sz w:val="24"/>
          <w:szCs w:val="24"/>
        </w:rPr>
      </w:pPr>
      <w:r>
        <w:rPr>
          <w:sz w:val="24"/>
          <w:szCs w:val="24"/>
        </w:rPr>
        <w:t>majapidamisgaasi maksumus;</w:t>
      </w:r>
    </w:p>
    <w:p w14:paraId="66B424FE" w14:textId="77777777" w:rsidR="007D598B" w:rsidRDefault="007D598B" w:rsidP="007D598B">
      <w:pPr>
        <w:pStyle w:val="Loendilik"/>
        <w:numPr>
          <w:ilvl w:val="0"/>
          <w:numId w:val="3"/>
        </w:numPr>
        <w:jc w:val="both"/>
        <w:rPr>
          <w:sz w:val="24"/>
          <w:szCs w:val="24"/>
        </w:rPr>
      </w:pPr>
      <w:r>
        <w:rPr>
          <w:sz w:val="24"/>
          <w:szCs w:val="24"/>
        </w:rPr>
        <w:t>maamaksukulu, mille arvestamise aluseks on kolmekordne elamualune pind;</w:t>
      </w:r>
    </w:p>
    <w:p w14:paraId="27FC1D22" w14:textId="77777777" w:rsidR="007D598B" w:rsidRDefault="007D598B" w:rsidP="007D598B">
      <w:pPr>
        <w:pStyle w:val="Loendilik"/>
        <w:numPr>
          <w:ilvl w:val="0"/>
          <w:numId w:val="3"/>
        </w:numPr>
        <w:jc w:val="both"/>
        <w:rPr>
          <w:sz w:val="24"/>
          <w:szCs w:val="24"/>
        </w:rPr>
      </w:pPr>
      <w:r>
        <w:rPr>
          <w:sz w:val="24"/>
          <w:szCs w:val="24"/>
        </w:rPr>
        <w:t>hoonekindlustuse kulu;</w:t>
      </w:r>
    </w:p>
    <w:p w14:paraId="0DF67AAB" w14:textId="77777777" w:rsidR="007D598B" w:rsidRDefault="007D598B" w:rsidP="007D598B">
      <w:pPr>
        <w:pStyle w:val="Loendilik"/>
        <w:numPr>
          <w:ilvl w:val="0"/>
          <w:numId w:val="3"/>
        </w:numPr>
        <w:jc w:val="both"/>
        <w:rPr>
          <w:sz w:val="24"/>
          <w:szCs w:val="24"/>
        </w:rPr>
      </w:pPr>
      <w:r>
        <w:rPr>
          <w:sz w:val="24"/>
          <w:szCs w:val="24"/>
        </w:rPr>
        <w:t>olmejäätmete veo tasu.</w:t>
      </w:r>
    </w:p>
    <w:p w14:paraId="43CCB961" w14:textId="77777777" w:rsidR="007D598B" w:rsidRDefault="007D598B" w:rsidP="007D598B">
      <w:pPr>
        <w:jc w:val="both"/>
        <w:rPr>
          <w:sz w:val="24"/>
          <w:szCs w:val="24"/>
        </w:rPr>
      </w:pPr>
    </w:p>
    <w:p w14:paraId="1FF08E1D" w14:textId="77777777" w:rsidR="007D598B" w:rsidRDefault="007D598B" w:rsidP="007D598B">
      <w:pPr>
        <w:jc w:val="both"/>
        <w:rPr>
          <w:sz w:val="24"/>
          <w:szCs w:val="24"/>
        </w:rPr>
      </w:pPr>
      <w:r>
        <w:rPr>
          <w:sz w:val="24"/>
          <w:szCs w:val="24"/>
        </w:rPr>
        <w:t>Sotsiaalhoolekande seaduse § 133 lõiget 5 muudetakse punktiga 1</w:t>
      </w:r>
      <w:r>
        <w:rPr>
          <w:sz w:val="24"/>
          <w:szCs w:val="24"/>
          <w:vertAlign w:val="superscript"/>
        </w:rPr>
        <w:t>1</w:t>
      </w:r>
      <w:r>
        <w:rPr>
          <w:sz w:val="24"/>
          <w:szCs w:val="24"/>
        </w:rPr>
        <w:t>, mille kohaselt on võimalik eluasemekuluna arvesse võtta ka eluaseme soetamiseks võetud laenu tagasimakset, mis sisaldab ka laenu intressi ja kohustusliku eluasemekindlustuse makset.</w:t>
      </w:r>
    </w:p>
    <w:p w14:paraId="6A88BA23" w14:textId="77777777" w:rsidR="007D598B" w:rsidRDefault="007D598B" w:rsidP="007D598B">
      <w:pPr>
        <w:jc w:val="both"/>
        <w:rPr>
          <w:sz w:val="24"/>
          <w:szCs w:val="24"/>
        </w:rPr>
      </w:pPr>
    </w:p>
    <w:p w14:paraId="1A59B51F" w14:textId="77777777" w:rsidR="007D598B" w:rsidRDefault="007D598B" w:rsidP="007D598B">
      <w:pPr>
        <w:jc w:val="both"/>
        <w:rPr>
          <w:sz w:val="24"/>
          <w:szCs w:val="24"/>
        </w:rPr>
      </w:pPr>
      <w:r>
        <w:rPr>
          <w:sz w:val="24"/>
          <w:szCs w:val="24"/>
        </w:rPr>
        <w:t xml:space="preserve">Toimetulekutoetuse regulatsiooni muutmise eesmärk on toetada eluaseme soetamiseks laenu võtnud peresid sarnastel alustel nende peredega, kes tasuvad igakuiselt eluaseme kasutamise eest üüri, vähendades nii majanduslike raskuste ulatust (sh täiendavate võlgnike lisandumist) ja vältides eluaseme kaotamist. </w:t>
      </w:r>
    </w:p>
    <w:p w14:paraId="7E862905" w14:textId="77777777" w:rsidR="007D598B" w:rsidRDefault="007D598B" w:rsidP="007D598B">
      <w:pPr>
        <w:jc w:val="both"/>
        <w:rPr>
          <w:sz w:val="24"/>
          <w:szCs w:val="24"/>
        </w:rPr>
      </w:pPr>
    </w:p>
    <w:p w14:paraId="7BE09EF2" w14:textId="77777777" w:rsidR="007D598B" w:rsidRDefault="007D598B" w:rsidP="007D598B">
      <w:pPr>
        <w:jc w:val="both"/>
        <w:rPr>
          <w:sz w:val="24"/>
          <w:szCs w:val="24"/>
        </w:rPr>
      </w:pPr>
      <w:r>
        <w:rPr>
          <w:sz w:val="24"/>
          <w:szCs w:val="24"/>
        </w:rPr>
        <w:t xml:space="preserve">Muudatuste eesmärk on muuta toimetulekutoetuse süsteemi nii, et tagada vähekindlustatud perede parem majanduslik toimetulek olukorras, kus pere on sattunud näiteks töötuks jäämise tõttu majanduslikesse raskustesse ning neil on vaja tasuda ka eluasemega seotud eluasemelaenu tagasimakseid. </w:t>
      </w:r>
    </w:p>
    <w:p w14:paraId="733EAD1C" w14:textId="77777777" w:rsidR="007D598B" w:rsidRDefault="007D598B" w:rsidP="007D598B">
      <w:pPr>
        <w:jc w:val="both"/>
        <w:rPr>
          <w:sz w:val="24"/>
          <w:szCs w:val="24"/>
        </w:rPr>
      </w:pPr>
    </w:p>
    <w:p w14:paraId="46840D79" w14:textId="77777777" w:rsidR="007D598B" w:rsidRDefault="007D598B" w:rsidP="007D598B">
      <w:pPr>
        <w:jc w:val="both"/>
        <w:rPr>
          <w:sz w:val="24"/>
          <w:szCs w:val="24"/>
        </w:rPr>
      </w:pPr>
      <w:bookmarkStart w:id="3" w:name="_Hlk102722053"/>
      <w:r>
        <w:rPr>
          <w:sz w:val="24"/>
          <w:szCs w:val="24"/>
        </w:rPr>
        <w:t xml:space="preserve">Vastavalt SHS § 133 lõikele 6 tuleb kohaliku omavalitsuse üksustel kehtestada toimetulekutoetuse määramiseks sama paragrahvi lõikes 5 nimetatud kulude piirmäärad, mis tagavad isiku ja tema perekonnaliikmete inimväärse äraelamise. Sellest tulenevalt peab kohalik omavalitsus kehtestama piirmäära ka eluaseme soetamiseks võetud laenu tagasimaksele. </w:t>
      </w:r>
      <w:bookmarkEnd w:id="3"/>
      <w:r>
        <w:rPr>
          <w:sz w:val="24"/>
          <w:szCs w:val="24"/>
        </w:rPr>
        <w:t>Eluasemelaenu tagasimakse koosneb laenu põhiosast, intressist ja kohustuslikust varakindlustusmaksest. See tähendab, et eluasemelaenu tagasimaksele tuleb kehtestada üks piirmäär arvestades piirmäära summas nii laenu põhiosa, intresse ja kohustusliku eluasemekindlustust.</w:t>
      </w:r>
    </w:p>
    <w:p w14:paraId="5305B000" w14:textId="77777777" w:rsidR="007D598B" w:rsidRDefault="007D598B" w:rsidP="007D598B">
      <w:pPr>
        <w:jc w:val="both"/>
        <w:rPr>
          <w:sz w:val="24"/>
          <w:szCs w:val="24"/>
        </w:rPr>
      </w:pPr>
    </w:p>
    <w:p w14:paraId="1C3DD010" w14:textId="77777777" w:rsidR="007D598B" w:rsidRDefault="007D598B" w:rsidP="007D598B">
      <w:pPr>
        <w:jc w:val="both"/>
        <w:rPr>
          <w:sz w:val="24"/>
          <w:szCs w:val="24"/>
        </w:rPr>
      </w:pPr>
      <w:r>
        <w:rPr>
          <w:sz w:val="24"/>
          <w:szCs w:val="24"/>
        </w:rPr>
        <w:t xml:space="preserve">Regulatsiooni paindlikkuse suurendamise eesmärk on toetada laenuga soetatud pinnal elavaid abivajajaid üüri pinnal elavate abivajajatega samadel alustel. Keskmine üür 2020. aasta Maksu ja Tolliameti andmetel oli 300 € ning eluaseme soetamisega seotud igakuine laenu tagasimakse oli 315 €, mistõttu on mõistlik nende kululiikide  hüvitamisel lähtuda samadest tingimustest. Seega võiks toimetulekutoetuse raames üüri piirmäär ehk ruutmeetrile kehtestatud hind olla võrdne eluaseme soetamiseks võetud laenu tagasimaksele (koos intressi ja kohustusliku eluasemekindlustuse maksega) kehtestatud piirmääraga. </w:t>
      </w:r>
    </w:p>
    <w:p w14:paraId="0A63A40C" w14:textId="77777777" w:rsidR="007D598B" w:rsidRDefault="007D598B" w:rsidP="007D598B">
      <w:pPr>
        <w:jc w:val="both"/>
        <w:rPr>
          <w:sz w:val="24"/>
          <w:szCs w:val="24"/>
        </w:rPr>
      </w:pPr>
    </w:p>
    <w:p w14:paraId="2B99169C" w14:textId="77777777" w:rsidR="007D598B" w:rsidRDefault="007D598B" w:rsidP="007D598B">
      <w:pPr>
        <w:jc w:val="both"/>
        <w:rPr>
          <w:sz w:val="24"/>
          <w:szCs w:val="24"/>
        </w:rPr>
      </w:pPr>
      <w:r>
        <w:rPr>
          <w:sz w:val="24"/>
          <w:szCs w:val="24"/>
        </w:rPr>
        <w:t xml:space="preserve">Sellisel juhul ei tehta vahet üüril ja pangalaenu tagasimaksel ning mõlema hüvitise arvutamise aluseks on pereliikmete arv, ühele liikmele ette nähtud sotsiaalselt põhjendatud norm (vastavalt elamuseaduse § 7 lg 1 p 3) ja kohaliku omavalitsuse kehtestatud piirmäär (EUR/m²). </w:t>
      </w:r>
    </w:p>
    <w:p w14:paraId="2B0525A1" w14:textId="77777777" w:rsidR="007D598B" w:rsidRDefault="007D598B" w:rsidP="007D598B">
      <w:pPr>
        <w:jc w:val="both"/>
        <w:rPr>
          <w:sz w:val="24"/>
          <w:szCs w:val="24"/>
        </w:rPr>
      </w:pPr>
    </w:p>
    <w:p w14:paraId="7F816BD9" w14:textId="77777777" w:rsidR="007D598B" w:rsidRDefault="007D598B" w:rsidP="007D598B">
      <w:pPr>
        <w:jc w:val="both"/>
        <w:rPr>
          <w:sz w:val="24"/>
          <w:szCs w:val="24"/>
        </w:rPr>
      </w:pPr>
      <w:r>
        <w:rPr>
          <w:sz w:val="24"/>
          <w:szCs w:val="24"/>
        </w:rPr>
        <w:t>Sarnaselt üürikulude arvesse võtmisega toimetulekutoetuse arvestamisel, ei pruugi ka eluaseme soetamiseks võetud laenu tagasimakse koos intressi ja kohustusliku eluasemekindlustuse maksega saada eluasemekulude hulgas arvesse võtta täies ulatuses, vaid osaliselt.</w:t>
      </w:r>
    </w:p>
    <w:p w14:paraId="23136649" w14:textId="77777777" w:rsidR="007D598B" w:rsidRDefault="007D598B" w:rsidP="007D598B">
      <w:pPr>
        <w:jc w:val="both"/>
        <w:rPr>
          <w:sz w:val="24"/>
          <w:szCs w:val="24"/>
        </w:rPr>
      </w:pPr>
    </w:p>
    <w:p w14:paraId="3A47BB23" w14:textId="77777777" w:rsidR="007D598B" w:rsidRDefault="007D598B" w:rsidP="007D598B">
      <w:pPr>
        <w:jc w:val="both"/>
        <w:rPr>
          <w:sz w:val="24"/>
          <w:szCs w:val="24"/>
        </w:rPr>
      </w:pPr>
      <w:r>
        <w:rPr>
          <w:sz w:val="24"/>
          <w:szCs w:val="24"/>
        </w:rPr>
        <w:t>Eluaseme soetamiseks võetud laenu tagasimakseid võetakse toimetulekutoetuse arvestamisel arvesse kuni kuus kuud kalendriaasta jooksul. Eluaseme soetamiseks võetud laenu tagasimaksete puhul on lähtutud sellest, et hätta sattumise korral asub riik ajutiselt inimest toetama laenu tagasimaksetega, kuid sellest ei saa kujuneda alaline meede eluaseme soetamiseks. Kuuekuuline periood, mida on võimalik kasutada järjest või hajutatuna aasta jooksul, on kooskõlas nii keskmise toimetulekutoetuse saamise kordade arvuga kui ka Eesti Töötukassa statistikaga</w:t>
      </w:r>
    </w:p>
    <w:p w14:paraId="6CE30587" w14:textId="77777777" w:rsidR="007D598B" w:rsidRDefault="007D598B" w:rsidP="007D598B">
      <w:pPr>
        <w:jc w:val="both"/>
        <w:rPr>
          <w:sz w:val="24"/>
          <w:szCs w:val="24"/>
        </w:rPr>
      </w:pPr>
    </w:p>
    <w:p w14:paraId="5C5807C0" w14:textId="77777777" w:rsidR="007D598B" w:rsidRDefault="007D598B" w:rsidP="007D598B">
      <w:pPr>
        <w:autoSpaceDE/>
        <w:rPr>
          <w:sz w:val="24"/>
        </w:rPr>
      </w:pPr>
      <w:bookmarkStart w:id="4" w:name="_Hlk102721930"/>
      <w:r>
        <w:rPr>
          <w:sz w:val="24"/>
          <w:szCs w:val="24"/>
        </w:rPr>
        <w:t xml:space="preserve">Muudatuse jõustumine on planeeritud </w:t>
      </w:r>
      <w:r>
        <w:rPr>
          <w:bCs/>
          <w:sz w:val="24"/>
          <w:szCs w:val="24"/>
        </w:rPr>
        <w:t>1. juuli 2022.</w:t>
      </w:r>
      <w:r>
        <w:rPr>
          <w:b/>
          <w:bCs/>
          <w:sz w:val="24"/>
          <w:szCs w:val="24"/>
        </w:rPr>
        <w:t xml:space="preserve"> </w:t>
      </w:r>
      <w:r>
        <w:rPr>
          <w:sz w:val="24"/>
        </w:rPr>
        <w:t>Sotsiaalteenuste ja -toetuste andmeregistri (STAR) esialgne arendus valmib 1. juuliks 2022.</w:t>
      </w:r>
    </w:p>
    <w:p w14:paraId="382E2665" w14:textId="77777777" w:rsidR="007D598B" w:rsidRDefault="007D598B" w:rsidP="007D598B">
      <w:pPr>
        <w:jc w:val="both"/>
        <w:rPr>
          <w:sz w:val="24"/>
          <w:szCs w:val="24"/>
        </w:rPr>
      </w:pPr>
    </w:p>
    <w:p w14:paraId="5D83BBC5" w14:textId="77777777" w:rsidR="007D598B" w:rsidRDefault="007D598B" w:rsidP="007D598B">
      <w:pPr>
        <w:jc w:val="both"/>
        <w:rPr>
          <w:sz w:val="24"/>
          <w:szCs w:val="24"/>
        </w:rPr>
      </w:pPr>
      <w:r>
        <w:rPr>
          <w:sz w:val="24"/>
          <w:szCs w:val="24"/>
        </w:rPr>
        <w:t xml:space="preserve">SHS § 133 lg 6 kohaselt kehtestab kohaliku omavalitsuse üksus toimetulekutoetuse määramiseks § 133 lg 5 nimetatud kulude piirmäärad, mis tagavad isiku ja tema perekonnaliikmete inimväärse äraelamise (ehk siis tagaks peale eluasemekulude katmist toimetulekupiiri ulatuses vahendite jäämise). Kohaliku omavalitsuse üksus vaatab kehtestatud piirmäärad vähemalt üks kord aastas üle ning vajaduse korral kehtestab uued piirmäärad. Käesoleva aasta piirmäärad vaadati üle ja kinnitati 2021 aasta detsembrikuus. Siiani kõrgema piirmäära vajadus puudus, kuid hinnatõus on praeguseks osutunud ootamatult kiireks ning tekitanud vajaduse taas tõsta eluasemekulude piirmäärasid. </w:t>
      </w:r>
    </w:p>
    <w:p w14:paraId="21C74E8F" w14:textId="77777777" w:rsidR="007D598B" w:rsidRDefault="007D598B" w:rsidP="007D598B">
      <w:pPr>
        <w:jc w:val="both"/>
        <w:rPr>
          <w:sz w:val="24"/>
          <w:szCs w:val="24"/>
        </w:rPr>
      </w:pPr>
    </w:p>
    <w:p w14:paraId="761D7D31" w14:textId="77777777" w:rsidR="007D598B" w:rsidRDefault="007D598B" w:rsidP="007D598B">
      <w:pPr>
        <w:jc w:val="both"/>
        <w:rPr>
          <w:sz w:val="24"/>
          <w:szCs w:val="24"/>
        </w:rPr>
      </w:pPr>
      <w:r>
        <w:rPr>
          <w:sz w:val="24"/>
          <w:szCs w:val="24"/>
        </w:rPr>
        <w:t xml:space="preserve">Näiteks AS ESRO soojusenergia müügihind oli detsembris 2021 koos käibemaksuga 63,97 €/MWh, alates 01.05.2022 on piirhind koos käibemaksuga 91,30 €/MWh. (info </w:t>
      </w:r>
      <w:proofErr w:type="spellStart"/>
      <w:r>
        <w:rPr>
          <w:sz w:val="24"/>
          <w:szCs w:val="24"/>
        </w:rPr>
        <w:t>Esro</w:t>
      </w:r>
      <w:proofErr w:type="spellEnd"/>
      <w:r>
        <w:rPr>
          <w:sz w:val="24"/>
          <w:szCs w:val="24"/>
        </w:rPr>
        <w:t xml:space="preserve"> kodulehelt). Kui detsembris 2021 oli keskmine ruutmeetri üürihind 8 eurot, siis aprillis 2022 on see juba 9,1 eurot (KV.ee kodulehe hinnastatistika). Eeldada võib, et üürihind jätkab tõusu, sest seoses Ukraina sõjaga on üüripindade nõudlus oluliselt kasvanud. </w:t>
      </w:r>
    </w:p>
    <w:p w14:paraId="6458B84F" w14:textId="77777777" w:rsidR="007D598B" w:rsidRDefault="007D598B" w:rsidP="007D598B">
      <w:pPr>
        <w:autoSpaceDE/>
        <w:jc w:val="both"/>
        <w:rPr>
          <w:sz w:val="24"/>
          <w:szCs w:val="24"/>
        </w:rPr>
      </w:pPr>
    </w:p>
    <w:p w14:paraId="3AA3A41D" w14:textId="77777777" w:rsidR="007D598B" w:rsidRDefault="007D598B" w:rsidP="007D598B">
      <w:pPr>
        <w:jc w:val="both"/>
        <w:rPr>
          <w:sz w:val="24"/>
          <w:szCs w:val="24"/>
        </w:rPr>
      </w:pPr>
      <w:r>
        <w:rPr>
          <w:sz w:val="24"/>
          <w:szCs w:val="24"/>
        </w:rPr>
        <w:t xml:space="preserve">Küttematerjali osas teeme ettepaneku tõsta kalendriaastas kokku arvesse minevat summat ning mõnevõrra ka ruutmeetri juures arvestatavat piirhinda. </w:t>
      </w:r>
      <w:r>
        <w:rPr>
          <w:color w:val="000000" w:themeColor="text1"/>
          <w:sz w:val="24"/>
          <w:szCs w:val="24"/>
        </w:rPr>
        <w:t>Kuni 9 eurot ühe normpinna m² kohta kalendrikuus</w:t>
      </w:r>
      <w:r>
        <w:rPr>
          <w:sz w:val="24"/>
          <w:szCs w:val="24"/>
        </w:rPr>
        <w:t xml:space="preserve"> arvesse minev summa tagab inimesele enam, kui ühe kalendrikuu küttepuude kulu. Küttepuude ostmist on võimalik hajutada ja planeerida, teiste eluasemekulude nagu näiteks elektrikulu, kaugküttekulu jms on konkreetselt ühel kuul tarbitud teenuste kulu, mille maksetähtaeg on määratud. Sotsiaalseadustiku üldosa seaduse § 5 lg 1 kohaselt on isikul esmane vastutus teda ohustavate sotsiaalsete riskidega toimetulekul. Lisaks on võimalik kulude hajutamise ja toimetulekuvõime tõstmiseks abi saada sotsiaalametist. SHS § 134</w:t>
      </w:r>
      <w:bookmarkStart w:id="5" w:name="para134lg3b1"/>
      <w:r>
        <w:rPr>
          <w:sz w:val="24"/>
          <w:szCs w:val="24"/>
        </w:rPr>
        <w:t xml:space="preserve">  </w:t>
      </w:r>
      <w:bookmarkEnd w:id="5"/>
      <w:r>
        <w:rPr>
          <w:sz w:val="24"/>
          <w:szCs w:val="24"/>
        </w:rPr>
        <w:t xml:space="preserve">lg 31 p 2 tagab kohaliku omavalitsuse üksus toimetulekutoetuse saajale toetavad tugiteenused, mis parandavad isiku toimetuleku- ja majandamisoskusi. </w:t>
      </w:r>
    </w:p>
    <w:p w14:paraId="32DBB837" w14:textId="77777777" w:rsidR="007D598B" w:rsidRDefault="007D598B" w:rsidP="007D598B">
      <w:pPr>
        <w:autoSpaceDE/>
        <w:jc w:val="both"/>
        <w:rPr>
          <w:sz w:val="24"/>
          <w:szCs w:val="24"/>
        </w:rPr>
      </w:pPr>
    </w:p>
    <w:p w14:paraId="3236DAFE" w14:textId="77777777" w:rsidR="007D598B" w:rsidRDefault="007D598B" w:rsidP="007D598B">
      <w:pPr>
        <w:autoSpaceDE/>
        <w:jc w:val="both"/>
        <w:rPr>
          <w:sz w:val="24"/>
          <w:szCs w:val="24"/>
        </w:rPr>
      </w:pPr>
      <w:r>
        <w:rPr>
          <w:sz w:val="24"/>
          <w:szCs w:val="24"/>
        </w:rPr>
        <w:t xml:space="preserve">SHS § 131 lg 1 kohaselt </w:t>
      </w:r>
      <w:r>
        <w:rPr>
          <w:color w:val="202020"/>
          <w:sz w:val="24"/>
          <w:szCs w:val="24"/>
          <w:shd w:val="clear" w:color="auto" w:fill="FFFFFF"/>
        </w:rPr>
        <w:t>on toimetulekutoetuse eesmärk isikute iseseisvat toimetulekut soodustava ajutise abimeetmena leevendada abi vajavate isikute ja perekondade materiaalset puudust, tagades minimaalsed vahendid esmavajaduste rahuldamiseks.</w:t>
      </w:r>
      <w:r>
        <w:rPr>
          <w:sz w:val="24"/>
          <w:szCs w:val="24"/>
        </w:rPr>
        <w:t xml:space="preserve"> SHS § 131 lg 2 ütleb, et toimetulekutoetust õigus saada üksi elaval isikul või perekonnal, kelle kuu netosissetulek pärast sotsiaalhoolekande seaduse § 133 lõigetes 5 ja 6 sätestatud tingimustel arvestatud eluasemekulude </w:t>
      </w:r>
      <w:proofErr w:type="spellStart"/>
      <w:r>
        <w:rPr>
          <w:sz w:val="24"/>
          <w:szCs w:val="24"/>
        </w:rPr>
        <w:t>mahaarvamist</w:t>
      </w:r>
      <w:proofErr w:type="spellEnd"/>
      <w:r>
        <w:rPr>
          <w:sz w:val="24"/>
          <w:szCs w:val="24"/>
        </w:rPr>
        <w:t xml:space="preserve"> on alla kehtestatud toimetulekupiiri. Seega tagasiulatuvaid otsuseid, et mõne kululiigi kulutusi arvestada tagasiulatuvalt mitu kuud, ei ole seadus ette näinud. </w:t>
      </w:r>
    </w:p>
    <w:p w14:paraId="7D7C00E9" w14:textId="77777777" w:rsidR="007D598B" w:rsidRDefault="007D598B" w:rsidP="007D598B">
      <w:pPr>
        <w:jc w:val="both"/>
        <w:rPr>
          <w:sz w:val="24"/>
          <w:szCs w:val="24"/>
        </w:rPr>
      </w:pPr>
    </w:p>
    <w:p w14:paraId="193BE528" w14:textId="77777777" w:rsidR="007D598B" w:rsidRDefault="007D598B" w:rsidP="007D598B">
      <w:pPr>
        <w:jc w:val="both"/>
        <w:rPr>
          <w:sz w:val="24"/>
          <w:szCs w:val="24"/>
        </w:rPr>
      </w:pPr>
      <w:r>
        <w:rPr>
          <w:sz w:val="24"/>
          <w:szCs w:val="24"/>
        </w:rPr>
        <w:t>Käesoleva määrusega tehakse ettepanek muuta järgmisi punkte:</w:t>
      </w:r>
    </w:p>
    <w:bookmarkEnd w:id="4"/>
    <w:p w14:paraId="29D2E269" w14:textId="77777777" w:rsidR="007D598B" w:rsidRDefault="007D598B" w:rsidP="007D598B">
      <w:pPr>
        <w:pStyle w:val="Loendilik"/>
        <w:numPr>
          <w:ilvl w:val="0"/>
          <w:numId w:val="4"/>
        </w:numPr>
        <w:ind w:left="284" w:hanging="284"/>
        <w:jc w:val="both"/>
        <w:rPr>
          <w:color w:val="000000" w:themeColor="text1"/>
          <w:sz w:val="24"/>
          <w:szCs w:val="24"/>
        </w:rPr>
      </w:pPr>
      <w:r>
        <w:rPr>
          <w:color w:val="000000" w:themeColor="text1"/>
          <w:sz w:val="24"/>
          <w:szCs w:val="24"/>
        </w:rPr>
        <w:t xml:space="preserve">üür kuni </w:t>
      </w:r>
      <w:r>
        <w:rPr>
          <w:color w:val="000000" w:themeColor="text1"/>
          <w:sz w:val="24"/>
          <w:szCs w:val="24"/>
          <w:highlight w:val="yellow"/>
        </w:rPr>
        <w:t>12 eurot ühe normpinna m² kohta kalendrikuus (eelnev 9 eurot kalendrikuus</w:t>
      </w:r>
      <w:r>
        <w:rPr>
          <w:color w:val="000000" w:themeColor="text1"/>
          <w:sz w:val="24"/>
          <w:szCs w:val="24"/>
        </w:rPr>
        <w:t>);</w:t>
      </w:r>
    </w:p>
    <w:p w14:paraId="1A449670" w14:textId="77777777" w:rsidR="007D598B" w:rsidRDefault="007D598B" w:rsidP="007D598B">
      <w:pPr>
        <w:pStyle w:val="Loendilik"/>
        <w:numPr>
          <w:ilvl w:val="0"/>
          <w:numId w:val="4"/>
        </w:numPr>
        <w:autoSpaceDE/>
        <w:ind w:left="284" w:hanging="284"/>
        <w:jc w:val="both"/>
        <w:rPr>
          <w:sz w:val="24"/>
          <w:szCs w:val="24"/>
          <w:highlight w:val="yellow"/>
        </w:rPr>
      </w:pPr>
      <w:r>
        <w:rPr>
          <w:sz w:val="24"/>
          <w:szCs w:val="24"/>
          <w:highlight w:val="yellow"/>
        </w:rPr>
        <w:t xml:space="preserve">eluaseme soetamiseks võetud laenu tagasimakse (s.h laenu põhiosa, intress ja kohustuslik varakindlustusmakse) </w:t>
      </w:r>
      <w:r>
        <w:rPr>
          <w:color w:val="000000" w:themeColor="text1"/>
          <w:sz w:val="24"/>
          <w:szCs w:val="24"/>
          <w:highlight w:val="yellow"/>
        </w:rPr>
        <w:t>kuni 12 eurot ühe normpinna m² kohta kalendrikuus (uus kululiik);</w:t>
      </w:r>
    </w:p>
    <w:p w14:paraId="544BF451" w14:textId="77777777" w:rsidR="007D598B" w:rsidRDefault="007D598B" w:rsidP="007D598B">
      <w:pPr>
        <w:pStyle w:val="Loendilik"/>
        <w:numPr>
          <w:ilvl w:val="0"/>
          <w:numId w:val="4"/>
        </w:numPr>
        <w:ind w:left="284" w:hanging="284"/>
        <w:jc w:val="both"/>
        <w:rPr>
          <w:color w:val="000000" w:themeColor="text1"/>
          <w:sz w:val="24"/>
          <w:szCs w:val="24"/>
          <w:highlight w:val="yellow"/>
        </w:rPr>
      </w:pPr>
      <w:r>
        <w:rPr>
          <w:color w:val="000000" w:themeColor="text1"/>
          <w:sz w:val="24"/>
          <w:szCs w:val="24"/>
        </w:rPr>
        <w:t>korterelamu haldamise kulu, sealhulgas remondiga seotud kulu kuni 6</w:t>
      </w:r>
      <w:r>
        <w:rPr>
          <w:color w:val="000000" w:themeColor="text1"/>
          <w:sz w:val="24"/>
          <w:szCs w:val="24"/>
          <w:highlight w:val="yellow"/>
        </w:rPr>
        <w:t xml:space="preserve"> eurot ühe normpinna m² kohta kalendrikuus (eelnev 4 eurot kalendrikuus); </w:t>
      </w:r>
    </w:p>
    <w:p w14:paraId="00E8B905" w14:textId="77777777" w:rsidR="007D598B" w:rsidRDefault="007D598B" w:rsidP="007D598B">
      <w:pPr>
        <w:pStyle w:val="Loendilik"/>
        <w:numPr>
          <w:ilvl w:val="0"/>
          <w:numId w:val="4"/>
        </w:numPr>
        <w:ind w:left="284" w:hanging="284"/>
        <w:jc w:val="both"/>
        <w:rPr>
          <w:color w:val="000000" w:themeColor="text1"/>
          <w:sz w:val="24"/>
          <w:szCs w:val="24"/>
          <w:highlight w:val="yellow"/>
        </w:rPr>
      </w:pPr>
      <w:r>
        <w:rPr>
          <w:color w:val="000000" w:themeColor="text1"/>
          <w:sz w:val="24"/>
          <w:szCs w:val="24"/>
        </w:rPr>
        <w:t xml:space="preserve">korterelamu renoveerimiseks võetud laenu tagasimakse kuni </w:t>
      </w:r>
      <w:r>
        <w:rPr>
          <w:color w:val="000000" w:themeColor="text1"/>
          <w:sz w:val="24"/>
          <w:szCs w:val="24"/>
          <w:highlight w:val="yellow"/>
        </w:rPr>
        <w:t>6 eurot ühe normpinna m² kohta kalendrikuus (eelnev 4 eurot kalendrikuus);</w:t>
      </w:r>
    </w:p>
    <w:p w14:paraId="7B0EB660" w14:textId="77777777" w:rsidR="007D598B" w:rsidRDefault="007D598B" w:rsidP="007D598B">
      <w:pPr>
        <w:pStyle w:val="Loendilik"/>
        <w:numPr>
          <w:ilvl w:val="0"/>
          <w:numId w:val="4"/>
        </w:numPr>
        <w:tabs>
          <w:tab w:val="left" w:pos="284"/>
        </w:tabs>
        <w:ind w:left="0" w:firstLine="0"/>
        <w:jc w:val="both"/>
        <w:rPr>
          <w:color w:val="000000" w:themeColor="text1"/>
          <w:sz w:val="24"/>
          <w:szCs w:val="24"/>
          <w:highlight w:val="yellow"/>
        </w:rPr>
      </w:pPr>
      <w:r>
        <w:rPr>
          <w:color w:val="000000" w:themeColor="text1"/>
          <w:sz w:val="24"/>
          <w:szCs w:val="24"/>
        </w:rPr>
        <w:t xml:space="preserve">veevarustuse ja reovee </w:t>
      </w:r>
      <w:proofErr w:type="spellStart"/>
      <w:r>
        <w:rPr>
          <w:color w:val="000000" w:themeColor="text1"/>
          <w:sz w:val="24"/>
          <w:szCs w:val="24"/>
        </w:rPr>
        <w:t>ärajuhtimise</w:t>
      </w:r>
      <w:proofErr w:type="spellEnd"/>
      <w:r>
        <w:rPr>
          <w:color w:val="000000" w:themeColor="text1"/>
          <w:sz w:val="24"/>
          <w:szCs w:val="24"/>
        </w:rPr>
        <w:t xml:space="preserve"> teenuste maksumus kuni 5 m³ ühe elaniku kohta </w:t>
      </w:r>
      <w:r>
        <w:rPr>
          <w:color w:val="000000" w:themeColor="text1"/>
          <w:sz w:val="24"/>
          <w:szCs w:val="24"/>
          <w:highlight w:val="yellow"/>
        </w:rPr>
        <w:t>(jääb samaks, aastas alguses sai kandi võtta piirmäära tõstetud);</w:t>
      </w:r>
    </w:p>
    <w:p w14:paraId="7E777E9A" w14:textId="77777777" w:rsidR="007D598B" w:rsidRDefault="007D598B" w:rsidP="007D598B">
      <w:pPr>
        <w:pStyle w:val="Loendilik"/>
        <w:numPr>
          <w:ilvl w:val="0"/>
          <w:numId w:val="4"/>
        </w:numPr>
        <w:ind w:left="284" w:hanging="284"/>
        <w:jc w:val="both"/>
        <w:rPr>
          <w:color w:val="000000" w:themeColor="text1"/>
          <w:sz w:val="24"/>
          <w:szCs w:val="24"/>
          <w:highlight w:val="yellow"/>
        </w:rPr>
      </w:pPr>
      <w:r>
        <w:rPr>
          <w:color w:val="000000" w:themeColor="text1"/>
          <w:sz w:val="24"/>
          <w:szCs w:val="24"/>
        </w:rPr>
        <w:t xml:space="preserve">soojaveevarustuseks tarbitud soojusenergia või kütuse maksumus kuni </w:t>
      </w:r>
      <w:r>
        <w:rPr>
          <w:color w:val="000000" w:themeColor="text1"/>
          <w:sz w:val="24"/>
          <w:szCs w:val="24"/>
          <w:highlight w:val="yellow"/>
        </w:rPr>
        <w:t>25 eurot ühe elaniku kohta kalendrikuus (eelnev 21 eurot kalendrikuus);</w:t>
      </w:r>
    </w:p>
    <w:p w14:paraId="4940DDBE" w14:textId="77777777" w:rsidR="007D598B" w:rsidRDefault="007D598B" w:rsidP="007D598B">
      <w:pPr>
        <w:pStyle w:val="Loendilik"/>
        <w:numPr>
          <w:ilvl w:val="0"/>
          <w:numId w:val="4"/>
        </w:numPr>
        <w:ind w:left="284" w:hanging="284"/>
        <w:jc w:val="both"/>
        <w:rPr>
          <w:color w:val="000000" w:themeColor="text1"/>
          <w:sz w:val="24"/>
          <w:szCs w:val="24"/>
        </w:rPr>
      </w:pPr>
      <w:r>
        <w:rPr>
          <w:color w:val="000000" w:themeColor="text1"/>
          <w:sz w:val="24"/>
          <w:szCs w:val="24"/>
        </w:rPr>
        <w:t xml:space="preserve">kütteks tarbitud soojusenergia või kütuse maksumus (arvesse võetakse vaid ühte kütteliiki): </w:t>
      </w:r>
      <w:r>
        <w:rPr>
          <w:sz w:val="24"/>
          <w:szCs w:val="24"/>
        </w:rPr>
        <w:t xml:space="preserve">kaugküttega, kaugkütteta ja elektriküttega eluruumide puhul </w:t>
      </w:r>
      <w:r>
        <w:rPr>
          <w:color w:val="000000" w:themeColor="text1"/>
          <w:sz w:val="24"/>
          <w:szCs w:val="24"/>
        </w:rPr>
        <w:t xml:space="preserve">olenemata </w:t>
      </w:r>
      <w:r>
        <w:rPr>
          <w:color w:val="000000" w:themeColor="text1"/>
          <w:sz w:val="24"/>
          <w:szCs w:val="24"/>
          <w:highlight w:val="yellow"/>
        </w:rPr>
        <w:t>kütuseliigist kuni 9 eurot ühe normpinna m² kohta kalendrikuus (eelnev 6 eurot normpinna ruutmeetri kohta kuus).</w:t>
      </w:r>
      <w:r>
        <w:rPr>
          <w:color w:val="000000" w:themeColor="text1"/>
          <w:sz w:val="24"/>
          <w:szCs w:val="24"/>
        </w:rPr>
        <w:t xml:space="preserve"> Kaugkütteta eluruumis mitte rohkem kui </w:t>
      </w:r>
      <w:r>
        <w:rPr>
          <w:color w:val="000000" w:themeColor="text1"/>
          <w:sz w:val="24"/>
          <w:szCs w:val="24"/>
          <w:highlight w:val="yellow"/>
        </w:rPr>
        <w:t>1000 eurot kalendriaastas.</w:t>
      </w:r>
      <w:r>
        <w:rPr>
          <w:color w:val="000000" w:themeColor="text1"/>
          <w:sz w:val="24"/>
          <w:szCs w:val="24"/>
        </w:rPr>
        <w:t xml:space="preserve"> </w:t>
      </w:r>
      <w:r>
        <w:rPr>
          <w:sz w:val="24"/>
          <w:szCs w:val="24"/>
        </w:rPr>
        <w:t xml:space="preserve">Kütuse ostmisel arvestatakse toimetulekuarvestuse sisse kuludokumendid, mis on ostetud taotluse esitamise eelsel või taotluse esitamise kalendrikuul </w:t>
      </w:r>
      <w:r>
        <w:rPr>
          <w:color w:val="000000" w:themeColor="text1"/>
          <w:sz w:val="24"/>
          <w:szCs w:val="24"/>
          <w:highlight w:val="yellow"/>
        </w:rPr>
        <w:t>(eelnev 700 eurot kalendriaastas)</w:t>
      </w:r>
      <w:r>
        <w:rPr>
          <w:sz w:val="24"/>
          <w:szCs w:val="24"/>
          <w:highlight w:val="yellow"/>
        </w:rPr>
        <w:t>;</w:t>
      </w:r>
    </w:p>
    <w:p w14:paraId="5887AF58" w14:textId="77777777" w:rsidR="007D598B" w:rsidRDefault="007D598B" w:rsidP="007D598B">
      <w:pPr>
        <w:pStyle w:val="Loendilik"/>
        <w:numPr>
          <w:ilvl w:val="0"/>
          <w:numId w:val="4"/>
        </w:numPr>
        <w:ind w:left="284" w:hanging="284"/>
        <w:jc w:val="both"/>
        <w:rPr>
          <w:sz w:val="24"/>
          <w:szCs w:val="24"/>
          <w:highlight w:val="yellow"/>
        </w:rPr>
      </w:pPr>
      <w:r>
        <w:rPr>
          <w:sz w:val="24"/>
          <w:szCs w:val="24"/>
        </w:rPr>
        <w:t xml:space="preserve">elektrienergia tarbimisega seotud kulu kuni </w:t>
      </w:r>
      <w:r>
        <w:rPr>
          <w:sz w:val="24"/>
          <w:szCs w:val="24"/>
          <w:highlight w:val="yellow"/>
        </w:rPr>
        <w:t xml:space="preserve">60 eurot üheliikmelise pere kohta kalendrikuus ning kuni 45 eurot iga järgneva pereliikme kohta kalendrikuus (eelnev 50 eurot pere esimene liikme ja 35 eurot iga järgnev liikme kohta </w:t>
      </w:r>
      <w:r>
        <w:rPr>
          <w:color w:val="000000" w:themeColor="text1"/>
          <w:sz w:val="24"/>
          <w:szCs w:val="24"/>
          <w:highlight w:val="yellow"/>
        </w:rPr>
        <w:t>kalendrikuus)</w:t>
      </w:r>
      <w:r>
        <w:rPr>
          <w:sz w:val="24"/>
          <w:szCs w:val="24"/>
          <w:highlight w:val="yellow"/>
        </w:rPr>
        <w:t>;</w:t>
      </w:r>
    </w:p>
    <w:p w14:paraId="685E9D55" w14:textId="77777777" w:rsidR="007D598B" w:rsidRDefault="007D598B" w:rsidP="007D598B">
      <w:pPr>
        <w:pStyle w:val="Loendilik"/>
        <w:numPr>
          <w:ilvl w:val="0"/>
          <w:numId w:val="4"/>
        </w:numPr>
        <w:ind w:left="284" w:hanging="284"/>
        <w:jc w:val="both"/>
        <w:rPr>
          <w:sz w:val="24"/>
          <w:szCs w:val="24"/>
        </w:rPr>
      </w:pPr>
      <w:r>
        <w:rPr>
          <w:sz w:val="24"/>
          <w:szCs w:val="24"/>
        </w:rPr>
        <w:t xml:space="preserve">hoone kindlustuse kulud kuni </w:t>
      </w:r>
      <w:r>
        <w:rPr>
          <w:sz w:val="24"/>
          <w:szCs w:val="24"/>
          <w:highlight w:val="yellow"/>
        </w:rPr>
        <w:t>0,50 eurot eluruumi ühe normpinna m² kohta kalendrikuus (eelnev 0,30 eurot kalendrikuus);</w:t>
      </w:r>
      <w:r>
        <w:rPr>
          <w:sz w:val="24"/>
          <w:szCs w:val="24"/>
        </w:rPr>
        <w:t xml:space="preserve"> </w:t>
      </w:r>
    </w:p>
    <w:p w14:paraId="10C6A1F8" w14:textId="77777777" w:rsidR="007D598B" w:rsidRDefault="007D598B" w:rsidP="007D598B">
      <w:pPr>
        <w:pStyle w:val="Loendilik"/>
        <w:numPr>
          <w:ilvl w:val="0"/>
          <w:numId w:val="4"/>
        </w:numPr>
        <w:ind w:left="284" w:hanging="284"/>
        <w:jc w:val="both"/>
        <w:rPr>
          <w:sz w:val="24"/>
          <w:szCs w:val="24"/>
          <w:highlight w:val="yellow"/>
        </w:rPr>
      </w:pPr>
      <w:r>
        <w:rPr>
          <w:sz w:val="24"/>
          <w:szCs w:val="24"/>
        </w:rPr>
        <w:t xml:space="preserve">olmejäätmete veo kulud kuni </w:t>
      </w:r>
      <w:r>
        <w:rPr>
          <w:sz w:val="24"/>
          <w:szCs w:val="24"/>
          <w:highlight w:val="yellow"/>
        </w:rPr>
        <w:t>10 eurot ühe elaniku kohta kalendrikuus (eelnev 9 eurot kalendrikuus).</w:t>
      </w:r>
    </w:p>
    <w:p w14:paraId="2F4063A3" w14:textId="77777777" w:rsidR="007D598B" w:rsidRDefault="007D598B" w:rsidP="007D598B">
      <w:pPr>
        <w:pStyle w:val="Normaallaadveeb"/>
        <w:spacing w:before="0" w:after="0" w:afterAutospacing="0"/>
        <w:jc w:val="both"/>
      </w:pPr>
    </w:p>
    <w:p w14:paraId="543B3510" w14:textId="77777777" w:rsidR="007D598B" w:rsidRDefault="007D598B" w:rsidP="007D598B">
      <w:pPr>
        <w:pStyle w:val="Normaallaadveeb"/>
        <w:spacing w:before="0" w:after="0" w:afterAutospacing="0"/>
        <w:jc w:val="both"/>
      </w:pPr>
      <w:r>
        <w:t>Muutmata jääksid järgnevad kulud, kuna need ei ole seotud konkreetse rahalise summaga ning nendes kululiikide juures on siiani piirmäär kulu ära katnud:</w:t>
      </w:r>
    </w:p>
    <w:p w14:paraId="7E6F8046" w14:textId="77777777" w:rsidR="007D598B" w:rsidRDefault="007D598B" w:rsidP="007D598B">
      <w:pPr>
        <w:pStyle w:val="Loendilik"/>
        <w:numPr>
          <w:ilvl w:val="0"/>
          <w:numId w:val="5"/>
        </w:numPr>
        <w:ind w:left="284" w:hanging="284"/>
        <w:jc w:val="both"/>
        <w:rPr>
          <w:sz w:val="24"/>
          <w:szCs w:val="24"/>
        </w:rPr>
      </w:pPr>
      <w:r>
        <w:rPr>
          <w:color w:val="000000" w:themeColor="text1"/>
          <w:sz w:val="24"/>
          <w:szCs w:val="24"/>
        </w:rPr>
        <w:t xml:space="preserve">veevarustuse ja reovee </w:t>
      </w:r>
      <w:proofErr w:type="spellStart"/>
      <w:r>
        <w:rPr>
          <w:color w:val="000000" w:themeColor="text1"/>
          <w:sz w:val="24"/>
          <w:szCs w:val="24"/>
        </w:rPr>
        <w:t>ärajuhtimise</w:t>
      </w:r>
      <w:proofErr w:type="spellEnd"/>
      <w:r>
        <w:rPr>
          <w:color w:val="000000" w:themeColor="text1"/>
          <w:sz w:val="24"/>
          <w:szCs w:val="24"/>
        </w:rPr>
        <w:t xml:space="preserve"> teenuste maksumus kuni 5 m³ ühe elaniku kohta;</w:t>
      </w:r>
    </w:p>
    <w:p w14:paraId="1698F8FD" w14:textId="77777777" w:rsidR="007D598B" w:rsidRDefault="007D598B" w:rsidP="007D598B">
      <w:pPr>
        <w:pStyle w:val="Loendilik"/>
        <w:numPr>
          <w:ilvl w:val="0"/>
          <w:numId w:val="5"/>
        </w:numPr>
        <w:ind w:left="284" w:hanging="284"/>
        <w:jc w:val="both"/>
        <w:rPr>
          <w:sz w:val="24"/>
          <w:szCs w:val="24"/>
        </w:rPr>
      </w:pPr>
      <w:r>
        <w:rPr>
          <w:sz w:val="24"/>
          <w:szCs w:val="24"/>
        </w:rPr>
        <w:t>majapidamisgaasi ühe ballooni maksumus perekonna kohta 2 kalendrikuu jooksul;</w:t>
      </w:r>
    </w:p>
    <w:p w14:paraId="0594C99F" w14:textId="77777777" w:rsidR="007D598B" w:rsidRDefault="007D598B" w:rsidP="007D598B">
      <w:pPr>
        <w:pStyle w:val="Loendilik"/>
        <w:numPr>
          <w:ilvl w:val="0"/>
          <w:numId w:val="5"/>
        </w:numPr>
        <w:ind w:left="284" w:hanging="284"/>
        <w:jc w:val="both"/>
        <w:rPr>
          <w:sz w:val="24"/>
          <w:szCs w:val="24"/>
        </w:rPr>
      </w:pPr>
      <w:r>
        <w:rPr>
          <w:sz w:val="24"/>
          <w:szCs w:val="24"/>
        </w:rPr>
        <w:t>maamaksukulud kolmekordse eluruumi normpinna ulatuses kalendriaastas.</w:t>
      </w:r>
    </w:p>
    <w:p w14:paraId="380785B8" w14:textId="77777777" w:rsidR="007D598B" w:rsidRDefault="007D598B" w:rsidP="007D598B">
      <w:pPr>
        <w:jc w:val="both"/>
        <w:rPr>
          <w:color w:val="000000" w:themeColor="text1"/>
          <w:sz w:val="24"/>
          <w:szCs w:val="24"/>
        </w:rPr>
      </w:pPr>
    </w:p>
    <w:p w14:paraId="13A1BD16" w14:textId="77777777" w:rsidR="007D598B" w:rsidRDefault="007D598B" w:rsidP="007D598B">
      <w:pPr>
        <w:jc w:val="both"/>
        <w:rPr>
          <w:color w:val="000000" w:themeColor="text1"/>
          <w:sz w:val="24"/>
          <w:szCs w:val="24"/>
        </w:rPr>
      </w:pPr>
      <w:r>
        <w:rPr>
          <w:color w:val="000000" w:themeColor="text1"/>
          <w:sz w:val="24"/>
          <w:szCs w:val="24"/>
        </w:rPr>
        <w:t xml:space="preserve">Toimetulekutoetuse eesmärk on tagada minimaalsed vahendid esmavajaduste rahuldamiseks ühe kalendrikuu lõikes. Abivajaduse korral on abi vajaval isikul võimalus pöörduda igal kalendrikuul toetuse saamiseks sotsiaalametisse. </w:t>
      </w:r>
    </w:p>
    <w:p w14:paraId="3EDFB548" w14:textId="77777777" w:rsidR="007D598B" w:rsidRDefault="007D598B" w:rsidP="007D598B">
      <w:pPr>
        <w:jc w:val="both"/>
        <w:rPr>
          <w:color w:val="000000" w:themeColor="text1"/>
          <w:sz w:val="24"/>
          <w:szCs w:val="24"/>
        </w:rPr>
      </w:pPr>
    </w:p>
    <w:p w14:paraId="273A5F27" w14:textId="77777777" w:rsidR="007D598B" w:rsidRDefault="007D598B" w:rsidP="007D598B">
      <w:pPr>
        <w:jc w:val="both"/>
        <w:rPr>
          <w:color w:val="000000" w:themeColor="text1"/>
          <w:sz w:val="24"/>
          <w:szCs w:val="24"/>
        </w:rPr>
      </w:pPr>
      <w:r>
        <w:rPr>
          <w:color w:val="000000" w:themeColor="text1"/>
          <w:sz w:val="24"/>
          <w:szCs w:val="24"/>
        </w:rPr>
        <w:t>Toimetulekupiiri tõstmisega seonduvate kulude katmine tagatakse riigieelarvest eraldatud toimetulekutoetuse vahenditest.</w:t>
      </w:r>
    </w:p>
    <w:p w14:paraId="05612666" w14:textId="77777777" w:rsidR="007D598B" w:rsidRDefault="007D598B" w:rsidP="007D598B">
      <w:pPr>
        <w:jc w:val="both"/>
        <w:rPr>
          <w:color w:val="000000" w:themeColor="text1"/>
          <w:sz w:val="24"/>
          <w:szCs w:val="24"/>
        </w:rPr>
      </w:pPr>
    </w:p>
    <w:p w14:paraId="049B4E32" w14:textId="77777777" w:rsidR="007D598B" w:rsidRDefault="007D598B" w:rsidP="007D598B">
      <w:pPr>
        <w:jc w:val="both"/>
        <w:rPr>
          <w:color w:val="000000" w:themeColor="text1"/>
          <w:sz w:val="24"/>
          <w:szCs w:val="24"/>
        </w:rPr>
      </w:pPr>
    </w:p>
    <w:p w14:paraId="7B0AD89D" w14:textId="77777777" w:rsidR="007D598B" w:rsidRDefault="007D598B" w:rsidP="007D598B">
      <w:pPr>
        <w:jc w:val="both"/>
        <w:rPr>
          <w:color w:val="000000" w:themeColor="text1"/>
          <w:sz w:val="24"/>
          <w:szCs w:val="24"/>
        </w:rPr>
      </w:pPr>
      <w:r>
        <w:rPr>
          <w:color w:val="000000" w:themeColor="text1"/>
          <w:sz w:val="24"/>
          <w:szCs w:val="24"/>
        </w:rPr>
        <w:t>(allkirjastatud digitaalselt)</w:t>
      </w:r>
    </w:p>
    <w:p w14:paraId="6A24FCC3" w14:textId="77777777" w:rsidR="007D598B" w:rsidRDefault="007D598B" w:rsidP="007D598B">
      <w:pPr>
        <w:jc w:val="both"/>
        <w:rPr>
          <w:color w:val="000000" w:themeColor="text1"/>
          <w:sz w:val="24"/>
          <w:szCs w:val="24"/>
        </w:rPr>
      </w:pPr>
      <w:r>
        <w:rPr>
          <w:color w:val="000000" w:themeColor="text1"/>
          <w:sz w:val="24"/>
          <w:szCs w:val="24"/>
        </w:rPr>
        <w:t>Karin Kiis</w:t>
      </w:r>
    </w:p>
    <w:p w14:paraId="65427D84" w14:textId="2C753EE6" w:rsidR="00B52CBC" w:rsidRPr="00125BA9" w:rsidRDefault="007D598B" w:rsidP="00125BA9">
      <w:pPr>
        <w:jc w:val="both"/>
        <w:rPr>
          <w:color w:val="000000" w:themeColor="text1"/>
          <w:sz w:val="24"/>
          <w:szCs w:val="24"/>
        </w:rPr>
      </w:pPr>
      <w:r>
        <w:rPr>
          <w:color w:val="000000" w:themeColor="text1"/>
          <w:sz w:val="24"/>
          <w:szCs w:val="24"/>
        </w:rPr>
        <w:t>täisealiste heaolu teenistuse juht</w:t>
      </w:r>
    </w:p>
    <w:sectPr w:rsidR="00B52CBC" w:rsidRPr="00125BA9" w:rsidSect="00C51C85">
      <w:footerReference w:type="even" r:id="rId8"/>
      <w:footerReference w:type="default" r:id="rId9"/>
      <w:pgSz w:w="11907" w:h="16840" w:code="9"/>
      <w:pgMar w:top="851" w:right="851" w:bottom="851"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ABDAB" w14:textId="77777777" w:rsidR="0076430C" w:rsidRDefault="0076430C">
      <w:r>
        <w:separator/>
      </w:r>
    </w:p>
  </w:endnote>
  <w:endnote w:type="continuationSeparator" w:id="0">
    <w:p w14:paraId="39FFD658" w14:textId="77777777" w:rsidR="0076430C" w:rsidRDefault="0076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altName w:val="Device Font 10cpi"/>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D1C3"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0182D1C4"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D1C5" w14:textId="43FE6C95"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781F52">
      <w:rPr>
        <w:rStyle w:val="Lehekljenumber"/>
        <w:noProof/>
      </w:rPr>
      <w:t>5</w:t>
    </w:r>
    <w:r>
      <w:rPr>
        <w:rStyle w:val="Lehekljenumber"/>
      </w:rPr>
      <w:fldChar w:fldCharType="end"/>
    </w:r>
  </w:p>
  <w:p w14:paraId="0182D1C6"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2EF26" w14:textId="77777777" w:rsidR="0076430C" w:rsidRDefault="0076430C">
      <w:r>
        <w:separator/>
      </w:r>
    </w:p>
  </w:footnote>
  <w:footnote w:type="continuationSeparator" w:id="0">
    <w:p w14:paraId="5CA65CA9" w14:textId="77777777" w:rsidR="0076430C" w:rsidRDefault="00764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33C9B"/>
    <w:multiLevelType w:val="hybridMultilevel"/>
    <w:tmpl w:val="3D1609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B7F5576"/>
    <w:multiLevelType w:val="hybridMultilevel"/>
    <w:tmpl w:val="AEBC0BE2"/>
    <w:lvl w:ilvl="0" w:tplc="F69EBEF0">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2" w15:restartNumberingAfterBreak="0">
    <w:nsid w:val="6F2B2280"/>
    <w:multiLevelType w:val="hybridMultilevel"/>
    <w:tmpl w:val="3D1609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2852BBD"/>
    <w:multiLevelType w:val="hybridMultilevel"/>
    <w:tmpl w:val="3D1609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4C86D04"/>
    <w:multiLevelType w:val="hybridMultilevel"/>
    <w:tmpl w:val="142632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3C"/>
    <w:rsid w:val="00002691"/>
    <w:rsid w:val="00013183"/>
    <w:rsid w:val="0003261E"/>
    <w:rsid w:val="00036184"/>
    <w:rsid w:val="00041DE3"/>
    <w:rsid w:val="00046D8C"/>
    <w:rsid w:val="00051BC8"/>
    <w:rsid w:val="00067179"/>
    <w:rsid w:val="00072D3C"/>
    <w:rsid w:val="0007366D"/>
    <w:rsid w:val="00084E8E"/>
    <w:rsid w:val="00090CD9"/>
    <w:rsid w:val="00091EDA"/>
    <w:rsid w:val="00093DDB"/>
    <w:rsid w:val="000A197C"/>
    <w:rsid w:val="000B30F2"/>
    <w:rsid w:val="000B7FF6"/>
    <w:rsid w:val="000C2BD6"/>
    <w:rsid w:val="000E140B"/>
    <w:rsid w:val="000E4E1B"/>
    <w:rsid w:val="000F2374"/>
    <w:rsid w:val="000F3EB2"/>
    <w:rsid w:val="000F535A"/>
    <w:rsid w:val="001033CA"/>
    <w:rsid w:val="00125BA9"/>
    <w:rsid w:val="00132DF5"/>
    <w:rsid w:val="0013723D"/>
    <w:rsid w:val="0015620A"/>
    <w:rsid w:val="00160420"/>
    <w:rsid w:val="00170253"/>
    <w:rsid w:val="001702ED"/>
    <w:rsid w:val="00173E6E"/>
    <w:rsid w:val="001926E6"/>
    <w:rsid w:val="00195837"/>
    <w:rsid w:val="001A2000"/>
    <w:rsid w:val="001A54FC"/>
    <w:rsid w:val="001B1482"/>
    <w:rsid w:val="001B3AD2"/>
    <w:rsid w:val="001D3B07"/>
    <w:rsid w:val="001E4746"/>
    <w:rsid w:val="001E5CCA"/>
    <w:rsid w:val="001E78A2"/>
    <w:rsid w:val="001F5AE4"/>
    <w:rsid w:val="001F6DBE"/>
    <w:rsid w:val="002037B3"/>
    <w:rsid w:val="00205E08"/>
    <w:rsid w:val="0022417D"/>
    <w:rsid w:val="00234F3B"/>
    <w:rsid w:val="00244F44"/>
    <w:rsid w:val="0024619C"/>
    <w:rsid w:val="0027008A"/>
    <w:rsid w:val="002779E7"/>
    <w:rsid w:val="00283CC2"/>
    <w:rsid w:val="00290ADE"/>
    <w:rsid w:val="0029603C"/>
    <w:rsid w:val="002A4250"/>
    <w:rsid w:val="002A712B"/>
    <w:rsid w:val="002B54E1"/>
    <w:rsid w:val="002E1091"/>
    <w:rsid w:val="002E5EFF"/>
    <w:rsid w:val="002E6F40"/>
    <w:rsid w:val="00304607"/>
    <w:rsid w:val="0030653E"/>
    <w:rsid w:val="0031497F"/>
    <w:rsid w:val="00332B2C"/>
    <w:rsid w:val="00333BC3"/>
    <w:rsid w:val="003375F8"/>
    <w:rsid w:val="00342641"/>
    <w:rsid w:val="003457BE"/>
    <w:rsid w:val="00365DA1"/>
    <w:rsid w:val="003677EF"/>
    <w:rsid w:val="0037191B"/>
    <w:rsid w:val="0037635B"/>
    <w:rsid w:val="003768D3"/>
    <w:rsid w:val="003815BA"/>
    <w:rsid w:val="003A2E5A"/>
    <w:rsid w:val="003A3915"/>
    <w:rsid w:val="003B3597"/>
    <w:rsid w:val="003B7B99"/>
    <w:rsid w:val="003C487A"/>
    <w:rsid w:val="003C5AD6"/>
    <w:rsid w:val="003D26E0"/>
    <w:rsid w:val="003F03F8"/>
    <w:rsid w:val="003F5ED5"/>
    <w:rsid w:val="00405D94"/>
    <w:rsid w:val="00421599"/>
    <w:rsid w:val="004244B2"/>
    <w:rsid w:val="0042760B"/>
    <w:rsid w:val="00451A40"/>
    <w:rsid w:val="004529EF"/>
    <w:rsid w:val="00472002"/>
    <w:rsid w:val="004753F5"/>
    <w:rsid w:val="004A20C6"/>
    <w:rsid w:val="004A5382"/>
    <w:rsid w:val="004A7201"/>
    <w:rsid w:val="004B4957"/>
    <w:rsid w:val="004B6196"/>
    <w:rsid w:val="004E5C7F"/>
    <w:rsid w:val="0052486B"/>
    <w:rsid w:val="00540EA7"/>
    <w:rsid w:val="00553FD7"/>
    <w:rsid w:val="00574510"/>
    <w:rsid w:val="005754E1"/>
    <w:rsid w:val="005844E8"/>
    <w:rsid w:val="005845EB"/>
    <w:rsid w:val="00594687"/>
    <w:rsid w:val="00595C5C"/>
    <w:rsid w:val="005A719A"/>
    <w:rsid w:val="005B0AD8"/>
    <w:rsid w:val="005B4468"/>
    <w:rsid w:val="005B4860"/>
    <w:rsid w:val="005C0768"/>
    <w:rsid w:val="005C4C71"/>
    <w:rsid w:val="005C577B"/>
    <w:rsid w:val="005F1694"/>
    <w:rsid w:val="005F205B"/>
    <w:rsid w:val="005F530E"/>
    <w:rsid w:val="006001C3"/>
    <w:rsid w:val="00601361"/>
    <w:rsid w:val="00606097"/>
    <w:rsid w:val="0061267D"/>
    <w:rsid w:val="0061496D"/>
    <w:rsid w:val="0062543B"/>
    <w:rsid w:val="00631766"/>
    <w:rsid w:val="006332F1"/>
    <w:rsid w:val="00657848"/>
    <w:rsid w:val="0066065A"/>
    <w:rsid w:val="00665FD9"/>
    <w:rsid w:val="00674DA9"/>
    <w:rsid w:val="00676BEA"/>
    <w:rsid w:val="00685DAC"/>
    <w:rsid w:val="0068638E"/>
    <w:rsid w:val="006B546F"/>
    <w:rsid w:val="006B6D9E"/>
    <w:rsid w:val="006B7252"/>
    <w:rsid w:val="006E052C"/>
    <w:rsid w:val="006F4120"/>
    <w:rsid w:val="006F419C"/>
    <w:rsid w:val="00703193"/>
    <w:rsid w:val="00704137"/>
    <w:rsid w:val="007048CE"/>
    <w:rsid w:val="00712A83"/>
    <w:rsid w:val="00727A79"/>
    <w:rsid w:val="00733D13"/>
    <w:rsid w:val="00743F1A"/>
    <w:rsid w:val="0074768D"/>
    <w:rsid w:val="007502AD"/>
    <w:rsid w:val="00753D0B"/>
    <w:rsid w:val="007631DC"/>
    <w:rsid w:val="0076430C"/>
    <w:rsid w:val="007669E8"/>
    <w:rsid w:val="0078123A"/>
    <w:rsid w:val="00781F52"/>
    <w:rsid w:val="007904D6"/>
    <w:rsid w:val="007934E5"/>
    <w:rsid w:val="00794AC1"/>
    <w:rsid w:val="007B074F"/>
    <w:rsid w:val="007B2F31"/>
    <w:rsid w:val="007D31CF"/>
    <w:rsid w:val="007D4CFF"/>
    <w:rsid w:val="007D598B"/>
    <w:rsid w:val="007D717E"/>
    <w:rsid w:val="007D77DD"/>
    <w:rsid w:val="00807104"/>
    <w:rsid w:val="00812F89"/>
    <w:rsid w:val="00826078"/>
    <w:rsid w:val="00854730"/>
    <w:rsid w:val="00855A34"/>
    <w:rsid w:val="0087007F"/>
    <w:rsid w:val="008833CD"/>
    <w:rsid w:val="008848F7"/>
    <w:rsid w:val="0089038F"/>
    <w:rsid w:val="008920C1"/>
    <w:rsid w:val="00893CFC"/>
    <w:rsid w:val="00897530"/>
    <w:rsid w:val="008C708A"/>
    <w:rsid w:val="008C7A20"/>
    <w:rsid w:val="008D022E"/>
    <w:rsid w:val="008D0B50"/>
    <w:rsid w:val="008F0B55"/>
    <w:rsid w:val="008F1199"/>
    <w:rsid w:val="008F1D62"/>
    <w:rsid w:val="008F294B"/>
    <w:rsid w:val="00903B26"/>
    <w:rsid w:val="00912912"/>
    <w:rsid w:val="009234D3"/>
    <w:rsid w:val="00925A07"/>
    <w:rsid w:val="00926434"/>
    <w:rsid w:val="0093541F"/>
    <w:rsid w:val="00944E49"/>
    <w:rsid w:val="00946B15"/>
    <w:rsid w:val="00952CD0"/>
    <w:rsid w:val="00987F5D"/>
    <w:rsid w:val="0099748C"/>
    <w:rsid w:val="009979DA"/>
    <w:rsid w:val="009B2113"/>
    <w:rsid w:val="009B5439"/>
    <w:rsid w:val="009B55E3"/>
    <w:rsid w:val="009D1FD7"/>
    <w:rsid w:val="009D2A01"/>
    <w:rsid w:val="009E0CF5"/>
    <w:rsid w:val="009E191B"/>
    <w:rsid w:val="009E4C89"/>
    <w:rsid w:val="009F74B9"/>
    <w:rsid w:val="00A04E4A"/>
    <w:rsid w:val="00A07E85"/>
    <w:rsid w:val="00A12302"/>
    <w:rsid w:val="00A24613"/>
    <w:rsid w:val="00A259AC"/>
    <w:rsid w:val="00A360DD"/>
    <w:rsid w:val="00A40D0A"/>
    <w:rsid w:val="00A731C6"/>
    <w:rsid w:val="00AB0AA4"/>
    <w:rsid w:val="00AB68EF"/>
    <w:rsid w:val="00AD1B36"/>
    <w:rsid w:val="00AD6677"/>
    <w:rsid w:val="00B04486"/>
    <w:rsid w:val="00B0480C"/>
    <w:rsid w:val="00B155CD"/>
    <w:rsid w:val="00B22836"/>
    <w:rsid w:val="00B52CBC"/>
    <w:rsid w:val="00B57882"/>
    <w:rsid w:val="00B74FB6"/>
    <w:rsid w:val="00B8142A"/>
    <w:rsid w:val="00B859E6"/>
    <w:rsid w:val="00B97372"/>
    <w:rsid w:val="00BB049D"/>
    <w:rsid w:val="00BB3B0A"/>
    <w:rsid w:val="00BD521D"/>
    <w:rsid w:val="00BD53E0"/>
    <w:rsid w:val="00BE24A4"/>
    <w:rsid w:val="00C10910"/>
    <w:rsid w:val="00C11564"/>
    <w:rsid w:val="00C20A20"/>
    <w:rsid w:val="00C212E5"/>
    <w:rsid w:val="00C31BA5"/>
    <w:rsid w:val="00C361C0"/>
    <w:rsid w:val="00C45FEE"/>
    <w:rsid w:val="00C51221"/>
    <w:rsid w:val="00C51C85"/>
    <w:rsid w:val="00C538A9"/>
    <w:rsid w:val="00C7685C"/>
    <w:rsid w:val="00C80208"/>
    <w:rsid w:val="00C847EC"/>
    <w:rsid w:val="00C92D9B"/>
    <w:rsid w:val="00CA7E3C"/>
    <w:rsid w:val="00CB36A7"/>
    <w:rsid w:val="00CC3FA2"/>
    <w:rsid w:val="00CD2269"/>
    <w:rsid w:val="00CE018F"/>
    <w:rsid w:val="00CE3F00"/>
    <w:rsid w:val="00D02FD8"/>
    <w:rsid w:val="00D112D2"/>
    <w:rsid w:val="00D365DE"/>
    <w:rsid w:val="00D47A93"/>
    <w:rsid w:val="00D524EE"/>
    <w:rsid w:val="00D52558"/>
    <w:rsid w:val="00D62610"/>
    <w:rsid w:val="00D71E63"/>
    <w:rsid w:val="00D93027"/>
    <w:rsid w:val="00D951CA"/>
    <w:rsid w:val="00D95F02"/>
    <w:rsid w:val="00DB4D05"/>
    <w:rsid w:val="00DC2A4A"/>
    <w:rsid w:val="00DE7783"/>
    <w:rsid w:val="00DF422C"/>
    <w:rsid w:val="00E174FF"/>
    <w:rsid w:val="00E35789"/>
    <w:rsid w:val="00E43CEC"/>
    <w:rsid w:val="00E51AE2"/>
    <w:rsid w:val="00E654D5"/>
    <w:rsid w:val="00E74FF3"/>
    <w:rsid w:val="00E946F2"/>
    <w:rsid w:val="00EA60C6"/>
    <w:rsid w:val="00EA64FC"/>
    <w:rsid w:val="00EB32E5"/>
    <w:rsid w:val="00EB3C08"/>
    <w:rsid w:val="00EC0908"/>
    <w:rsid w:val="00EC6373"/>
    <w:rsid w:val="00ED51D8"/>
    <w:rsid w:val="00EF0E70"/>
    <w:rsid w:val="00EF12E7"/>
    <w:rsid w:val="00F01439"/>
    <w:rsid w:val="00F02A4E"/>
    <w:rsid w:val="00F07F72"/>
    <w:rsid w:val="00F217DF"/>
    <w:rsid w:val="00F267C1"/>
    <w:rsid w:val="00F30D2F"/>
    <w:rsid w:val="00F67B97"/>
    <w:rsid w:val="00F7013D"/>
    <w:rsid w:val="00F83271"/>
    <w:rsid w:val="00F86819"/>
    <w:rsid w:val="00F976A5"/>
    <w:rsid w:val="00FC29A0"/>
    <w:rsid w:val="00FC490E"/>
    <w:rsid w:val="00FD1ED1"/>
    <w:rsid w:val="00FD4165"/>
    <w:rsid w:val="00FE2D5F"/>
    <w:rsid w:val="00FE5B2D"/>
    <w:rsid w:val="00FF1D84"/>
    <w:rsid w:val="00FF21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2D15E"/>
  <w15:docId w15:val="{6CB8BBFA-3DE5-4D8F-8A51-495FEFDE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rPr>
      <w:rFonts w:ascii="Cambria" w:eastAsia="Times New Roman" w:hAnsi="Cambria" w:cs="Times New Roman"/>
      <w:b/>
      <w:bCs/>
      <w:kern w:val="32"/>
      <w:sz w:val="32"/>
      <w:szCs w:val="32"/>
      <w:lang w:eastAsia="en-US"/>
    </w:rPr>
  </w:style>
  <w:style w:type="character" w:customStyle="1" w:styleId="Pealkiri2Mrk">
    <w:name w:val="Pealkiri 2 Märk"/>
    <w:link w:val="Pealkiri2"/>
    <w:uiPriority w:val="9"/>
    <w:semiHidden/>
    <w:rPr>
      <w:rFonts w:ascii="Cambria" w:eastAsia="Times New Roman" w:hAnsi="Cambria" w:cs="Times New Roman"/>
      <w:b/>
      <w:bCs/>
      <w:i/>
      <w:iCs/>
      <w:sz w:val="28"/>
      <w:szCs w:val="28"/>
      <w:lang w:eastAsia="en-US"/>
    </w:rPr>
  </w:style>
  <w:style w:type="character" w:customStyle="1" w:styleId="Pealkiri3Mrk">
    <w:name w:val="Pealkiri 3 Märk"/>
    <w:link w:val="Pealkiri3"/>
    <w:uiPriority w:val="99"/>
    <w:rPr>
      <w:rFonts w:ascii="Cambria" w:eastAsia="Times New Roman" w:hAnsi="Cambria" w:cs="Times New Roman"/>
      <w:b/>
      <w:bCs/>
      <w:sz w:val="26"/>
      <w:szCs w:val="26"/>
      <w:lang w:eastAsia="en-US"/>
    </w:rPr>
  </w:style>
  <w:style w:type="character" w:customStyle="1" w:styleId="Pealkiri4Mrk">
    <w:name w:val="Pealkiri 4 Märk"/>
    <w:link w:val="Pealkiri4"/>
    <w:uiPriority w:val="9"/>
    <w:semiHidden/>
    <w:rPr>
      <w:rFonts w:ascii="Calibri" w:eastAsia="Times New Roman" w:hAnsi="Calibri" w:cs="Times New Roman"/>
      <w:b/>
      <w:bCs/>
      <w:sz w:val="28"/>
      <w:szCs w:val="28"/>
      <w:lang w:eastAsia="en-US"/>
    </w:rPr>
  </w:style>
  <w:style w:type="character" w:customStyle="1" w:styleId="Pealkiri5Mrk">
    <w:name w:val="Pealkiri 5 Märk"/>
    <w:link w:val="Pealkiri5"/>
    <w:uiPriority w:val="9"/>
    <w:semiHidden/>
    <w:rPr>
      <w:rFonts w:ascii="Calibri" w:eastAsia="Times New Roman" w:hAnsi="Calibri" w:cs="Times New Roman"/>
      <w:b/>
      <w:bCs/>
      <w:i/>
      <w:iCs/>
      <w:sz w:val="26"/>
      <w:szCs w:val="26"/>
      <w:lang w:eastAsia="en-US"/>
    </w:rPr>
  </w:style>
  <w:style w:type="character" w:customStyle="1" w:styleId="Pealkiri6Mrk">
    <w:name w:val="Pealkiri 6 Märk"/>
    <w:link w:val="Pealkiri6"/>
    <w:uiPriority w:val="9"/>
    <w:semiHidden/>
    <w:rPr>
      <w:rFonts w:ascii="Calibri" w:eastAsia="Times New Roman" w:hAnsi="Calibri" w:cs="Times New Roman"/>
      <w:b/>
      <w:bCs/>
      <w:lang w:eastAsia="en-US"/>
    </w:rPr>
  </w:style>
  <w:style w:type="character" w:customStyle="1" w:styleId="Pealkiri7Mrk">
    <w:name w:val="Pealkiri 7 Märk"/>
    <w:link w:val="Pealkiri7"/>
    <w:uiPriority w:val="99"/>
    <w:rPr>
      <w:rFonts w:ascii="Calibri" w:eastAsia="Times New Roman" w:hAnsi="Calibri" w:cs="Times New Roman"/>
      <w:sz w:val="24"/>
      <w:szCs w:val="24"/>
      <w:lang w:eastAsia="en-US"/>
    </w:rPr>
  </w:style>
  <w:style w:type="character" w:customStyle="1" w:styleId="Pealkiri8Mrk">
    <w:name w:val="Pealkiri 8 Märk"/>
    <w:link w:val="Pealkiri8"/>
    <w:uiPriority w:val="9"/>
    <w:semiHidden/>
    <w:rPr>
      <w:rFonts w:ascii="Calibri" w:eastAsia="Times New Roman" w:hAnsi="Calibri" w:cs="Times New Roman"/>
      <w:i/>
      <w:iCs/>
      <w:sz w:val="24"/>
      <w:szCs w:val="24"/>
      <w:lang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link w:val="Kehatekst"/>
    <w:uiPriority w:val="99"/>
    <w:semiHidden/>
    <w:rPr>
      <w:sz w:val="20"/>
      <w:szCs w:val="20"/>
      <w:lang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link w:val="Taandegakehatekst"/>
    <w:uiPriority w:val="99"/>
    <w:semiHidden/>
    <w:rPr>
      <w:sz w:val="20"/>
      <w:szCs w:val="20"/>
      <w:lang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link w:val="Jalus"/>
    <w:uiPriority w:val="99"/>
    <w:semiHidden/>
    <w:rPr>
      <w:sz w:val="20"/>
      <w:szCs w:val="20"/>
      <w:lang w:eastAsia="en-US"/>
    </w:rPr>
  </w:style>
  <w:style w:type="character" w:styleId="Lehekljenumber">
    <w:name w:val="page number"/>
    <w:uiPriority w:val="99"/>
    <w:rsid w:val="004A20C6"/>
    <w:rPr>
      <w:rFonts w:cs="Times New Roman"/>
    </w:rPr>
  </w:style>
  <w:style w:type="character" w:styleId="Tugev">
    <w:name w:val="Strong"/>
    <w:uiPriority w:val="22"/>
    <w:qFormat/>
    <w:rsid w:val="005754E1"/>
    <w:rPr>
      <w:b/>
      <w:bCs/>
    </w:rPr>
  </w:style>
  <w:style w:type="paragraph" w:styleId="Normaallaadveeb">
    <w:name w:val="Normal (Web)"/>
    <w:basedOn w:val="Normaallaad"/>
    <w:uiPriority w:val="99"/>
    <w:unhideWhenUsed/>
    <w:rsid w:val="0061496D"/>
    <w:pPr>
      <w:autoSpaceDE/>
      <w:autoSpaceDN/>
      <w:spacing w:before="240" w:after="100" w:afterAutospacing="1"/>
    </w:pPr>
    <w:rPr>
      <w:sz w:val="24"/>
      <w:szCs w:val="24"/>
      <w:lang w:eastAsia="et-EE"/>
    </w:rPr>
  </w:style>
  <w:style w:type="character" w:customStyle="1" w:styleId="tyhik">
    <w:name w:val="tyhik"/>
    <w:rsid w:val="0061496D"/>
  </w:style>
  <w:style w:type="character" w:customStyle="1" w:styleId="mm">
    <w:name w:val="mm"/>
    <w:rsid w:val="0061496D"/>
  </w:style>
  <w:style w:type="character" w:styleId="Hperlink">
    <w:name w:val="Hyperlink"/>
    <w:uiPriority w:val="99"/>
    <w:semiHidden/>
    <w:unhideWhenUsed/>
    <w:rsid w:val="0061496D"/>
    <w:rPr>
      <w:color w:val="0000FF"/>
      <w:u w:val="single"/>
    </w:rPr>
  </w:style>
  <w:style w:type="character" w:styleId="Kommentaariviide">
    <w:name w:val="annotation reference"/>
    <w:uiPriority w:val="99"/>
    <w:semiHidden/>
    <w:unhideWhenUsed/>
    <w:rsid w:val="00BB049D"/>
    <w:rPr>
      <w:sz w:val="16"/>
      <w:szCs w:val="16"/>
    </w:rPr>
  </w:style>
  <w:style w:type="paragraph" w:styleId="Kommentaaritekst">
    <w:name w:val="annotation text"/>
    <w:basedOn w:val="Normaallaad"/>
    <w:link w:val="KommentaaritekstMrk"/>
    <w:uiPriority w:val="99"/>
    <w:semiHidden/>
    <w:unhideWhenUsed/>
    <w:rsid w:val="00BB049D"/>
  </w:style>
  <w:style w:type="character" w:customStyle="1" w:styleId="KommentaaritekstMrk">
    <w:name w:val="Kommentaari tekst Märk"/>
    <w:link w:val="Kommentaaritekst"/>
    <w:uiPriority w:val="99"/>
    <w:semiHidden/>
    <w:rsid w:val="00BB049D"/>
    <w:rPr>
      <w:lang w:eastAsia="en-US"/>
    </w:rPr>
  </w:style>
  <w:style w:type="paragraph" w:styleId="Kommentaariteema">
    <w:name w:val="annotation subject"/>
    <w:basedOn w:val="Kommentaaritekst"/>
    <w:next w:val="Kommentaaritekst"/>
    <w:link w:val="KommentaariteemaMrk"/>
    <w:uiPriority w:val="99"/>
    <w:semiHidden/>
    <w:unhideWhenUsed/>
    <w:rsid w:val="00BB049D"/>
    <w:rPr>
      <w:b/>
      <w:bCs/>
    </w:rPr>
  </w:style>
  <w:style w:type="character" w:customStyle="1" w:styleId="KommentaariteemaMrk">
    <w:name w:val="Kommentaari teema Märk"/>
    <w:link w:val="Kommentaariteema"/>
    <w:uiPriority w:val="99"/>
    <w:semiHidden/>
    <w:rsid w:val="00BB049D"/>
    <w:rPr>
      <w:b/>
      <w:bCs/>
      <w:lang w:eastAsia="en-US"/>
    </w:rPr>
  </w:style>
  <w:style w:type="paragraph" w:styleId="Jutumullitekst">
    <w:name w:val="Balloon Text"/>
    <w:basedOn w:val="Normaallaad"/>
    <w:link w:val="JutumullitekstMrk"/>
    <w:uiPriority w:val="99"/>
    <w:semiHidden/>
    <w:unhideWhenUsed/>
    <w:rsid w:val="00BB049D"/>
    <w:rPr>
      <w:rFonts w:ascii="Segoe UI" w:hAnsi="Segoe UI" w:cs="Segoe UI"/>
      <w:sz w:val="18"/>
      <w:szCs w:val="18"/>
    </w:rPr>
  </w:style>
  <w:style w:type="character" w:customStyle="1" w:styleId="JutumullitekstMrk">
    <w:name w:val="Jutumullitekst Märk"/>
    <w:link w:val="Jutumullitekst"/>
    <w:uiPriority w:val="99"/>
    <w:semiHidden/>
    <w:rsid w:val="00BB049D"/>
    <w:rPr>
      <w:rFonts w:ascii="Segoe UI" w:hAnsi="Segoe UI" w:cs="Segoe UI"/>
      <w:sz w:val="18"/>
      <w:szCs w:val="18"/>
      <w:lang w:eastAsia="en-US"/>
    </w:rPr>
  </w:style>
  <w:style w:type="paragraph" w:styleId="Loendilik">
    <w:name w:val="List Paragraph"/>
    <w:basedOn w:val="Normaallaad"/>
    <w:uiPriority w:val="34"/>
    <w:qFormat/>
    <w:rsid w:val="00041DE3"/>
    <w:pPr>
      <w:ind w:left="720"/>
      <w:contextualSpacing/>
    </w:pPr>
  </w:style>
  <w:style w:type="table" w:styleId="Kontuurtabel">
    <w:name w:val="Table Grid"/>
    <w:basedOn w:val="Normaaltabel"/>
    <w:uiPriority w:val="59"/>
    <w:rsid w:val="00F6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allaad"/>
    <w:rsid w:val="00BE24A4"/>
    <w:pPr>
      <w:autoSpaceDE/>
      <w:autoSpaceDN/>
    </w:pPr>
    <w:rPr>
      <w:rFonts w:ascii="Calibri" w:eastAsiaTheme="minorHAnsi" w:hAnsi="Calibri" w:cs="Calibri"/>
      <w:sz w:val="22"/>
      <w:szCs w:val="22"/>
      <w:lang w:eastAsia="et-EE"/>
    </w:rPr>
  </w:style>
  <w:style w:type="paragraph" w:styleId="Pis">
    <w:name w:val="header"/>
    <w:basedOn w:val="Normaallaad"/>
    <w:link w:val="PisMrk"/>
    <w:uiPriority w:val="99"/>
    <w:unhideWhenUsed/>
    <w:rsid w:val="0037635B"/>
    <w:pPr>
      <w:tabs>
        <w:tab w:val="center" w:pos="4513"/>
        <w:tab w:val="right" w:pos="9026"/>
      </w:tabs>
    </w:pPr>
  </w:style>
  <w:style w:type="character" w:customStyle="1" w:styleId="PisMrk">
    <w:name w:val="Päis Märk"/>
    <w:basedOn w:val="Liguvaikefont"/>
    <w:link w:val="Pis"/>
    <w:uiPriority w:val="99"/>
    <w:rsid w:val="0037635B"/>
    <w:rPr>
      <w:lang w:eastAsia="en-US"/>
    </w:rPr>
  </w:style>
  <w:style w:type="character" w:styleId="Rhutus">
    <w:name w:val="Emphasis"/>
    <w:basedOn w:val="Liguvaikefont"/>
    <w:uiPriority w:val="20"/>
    <w:qFormat/>
    <w:rsid w:val="008F2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3659">
      <w:bodyDiv w:val="1"/>
      <w:marLeft w:val="0"/>
      <w:marRight w:val="0"/>
      <w:marTop w:val="0"/>
      <w:marBottom w:val="0"/>
      <w:divBdr>
        <w:top w:val="none" w:sz="0" w:space="0" w:color="auto"/>
        <w:left w:val="none" w:sz="0" w:space="0" w:color="auto"/>
        <w:bottom w:val="none" w:sz="0" w:space="0" w:color="auto"/>
        <w:right w:val="none" w:sz="0" w:space="0" w:color="auto"/>
      </w:divBdr>
      <w:divsChild>
        <w:div w:id="1204749476">
          <w:marLeft w:val="0"/>
          <w:marRight w:val="0"/>
          <w:marTop w:val="0"/>
          <w:marBottom w:val="0"/>
          <w:divBdr>
            <w:top w:val="none" w:sz="0" w:space="0" w:color="auto"/>
            <w:left w:val="none" w:sz="0" w:space="0" w:color="auto"/>
            <w:bottom w:val="none" w:sz="0" w:space="0" w:color="auto"/>
            <w:right w:val="none" w:sz="0" w:space="0" w:color="auto"/>
          </w:divBdr>
          <w:divsChild>
            <w:div w:id="207105399">
              <w:marLeft w:val="0"/>
              <w:marRight w:val="0"/>
              <w:marTop w:val="0"/>
              <w:marBottom w:val="0"/>
              <w:divBdr>
                <w:top w:val="none" w:sz="0" w:space="0" w:color="auto"/>
                <w:left w:val="none" w:sz="0" w:space="0" w:color="auto"/>
                <w:bottom w:val="none" w:sz="0" w:space="0" w:color="auto"/>
                <w:right w:val="none" w:sz="0" w:space="0" w:color="auto"/>
              </w:divBdr>
              <w:divsChild>
                <w:div w:id="806901793">
                  <w:marLeft w:val="0"/>
                  <w:marRight w:val="0"/>
                  <w:marTop w:val="0"/>
                  <w:marBottom w:val="0"/>
                  <w:divBdr>
                    <w:top w:val="none" w:sz="0" w:space="0" w:color="auto"/>
                    <w:left w:val="none" w:sz="0" w:space="0" w:color="auto"/>
                    <w:bottom w:val="none" w:sz="0" w:space="0" w:color="auto"/>
                    <w:right w:val="none" w:sz="0" w:space="0" w:color="auto"/>
                  </w:divBdr>
                  <w:divsChild>
                    <w:div w:id="11411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2400">
      <w:bodyDiv w:val="1"/>
      <w:marLeft w:val="0"/>
      <w:marRight w:val="0"/>
      <w:marTop w:val="0"/>
      <w:marBottom w:val="0"/>
      <w:divBdr>
        <w:top w:val="none" w:sz="0" w:space="0" w:color="auto"/>
        <w:left w:val="none" w:sz="0" w:space="0" w:color="auto"/>
        <w:bottom w:val="none" w:sz="0" w:space="0" w:color="auto"/>
        <w:right w:val="none" w:sz="0" w:space="0" w:color="auto"/>
      </w:divBdr>
    </w:div>
    <w:div w:id="214707183">
      <w:bodyDiv w:val="1"/>
      <w:marLeft w:val="0"/>
      <w:marRight w:val="0"/>
      <w:marTop w:val="0"/>
      <w:marBottom w:val="0"/>
      <w:divBdr>
        <w:top w:val="none" w:sz="0" w:space="0" w:color="auto"/>
        <w:left w:val="none" w:sz="0" w:space="0" w:color="auto"/>
        <w:bottom w:val="none" w:sz="0" w:space="0" w:color="auto"/>
        <w:right w:val="none" w:sz="0" w:space="0" w:color="auto"/>
      </w:divBdr>
    </w:div>
    <w:div w:id="367223945">
      <w:bodyDiv w:val="1"/>
      <w:marLeft w:val="0"/>
      <w:marRight w:val="0"/>
      <w:marTop w:val="0"/>
      <w:marBottom w:val="0"/>
      <w:divBdr>
        <w:top w:val="none" w:sz="0" w:space="0" w:color="auto"/>
        <w:left w:val="none" w:sz="0" w:space="0" w:color="auto"/>
        <w:bottom w:val="none" w:sz="0" w:space="0" w:color="auto"/>
        <w:right w:val="none" w:sz="0" w:space="0" w:color="auto"/>
      </w:divBdr>
      <w:divsChild>
        <w:div w:id="778570353">
          <w:marLeft w:val="0"/>
          <w:marRight w:val="0"/>
          <w:marTop w:val="0"/>
          <w:marBottom w:val="0"/>
          <w:divBdr>
            <w:top w:val="none" w:sz="0" w:space="0" w:color="auto"/>
            <w:left w:val="none" w:sz="0" w:space="0" w:color="auto"/>
            <w:bottom w:val="none" w:sz="0" w:space="0" w:color="auto"/>
            <w:right w:val="none" w:sz="0" w:space="0" w:color="auto"/>
          </w:divBdr>
          <w:divsChild>
            <w:div w:id="1085029702">
              <w:marLeft w:val="0"/>
              <w:marRight w:val="0"/>
              <w:marTop w:val="0"/>
              <w:marBottom w:val="0"/>
              <w:divBdr>
                <w:top w:val="none" w:sz="0" w:space="0" w:color="auto"/>
                <w:left w:val="none" w:sz="0" w:space="0" w:color="auto"/>
                <w:bottom w:val="none" w:sz="0" w:space="0" w:color="auto"/>
                <w:right w:val="none" w:sz="0" w:space="0" w:color="auto"/>
              </w:divBdr>
              <w:divsChild>
                <w:div w:id="2112389040">
                  <w:marLeft w:val="0"/>
                  <w:marRight w:val="0"/>
                  <w:marTop w:val="0"/>
                  <w:marBottom w:val="0"/>
                  <w:divBdr>
                    <w:top w:val="none" w:sz="0" w:space="0" w:color="auto"/>
                    <w:left w:val="none" w:sz="0" w:space="0" w:color="auto"/>
                    <w:bottom w:val="none" w:sz="0" w:space="0" w:color="auto"/>
                    <w:right w:val="none" w:sz="0" w:space="0" w:color="auto"/>
                  </w:divBdr>
                  <w:divsChild>
                    <w:div w:id="684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3268">
      <w:bodyDiv w:val="1"/>
      <w:marLeft w:val="0"/>
      <w:marRight w:val="0"/>
      <w:marTop w:val="0"/>
      <w:marBottom w:val="0"/>
      <w:divBdr>
        <w:top w:val="none" w:sz="0" w:space="0" w:color="auto"/>
        <w:left w:val="none" w:sz="0" w:space="0" w:color="auto"/>
        <w:bottom w:val="none" w:sz="0" w:space="0" w:color="auto"/>
        <w:right w:val="none" w:sz="0" w:space="0" w:color="auto"/>
      </w:divBdr>
    </w:div>
    <w:div w:id="438187938">
      <w:bodyDiv w:val="1"/>
      <w:marLeft w:val="0"/>
      <w:marRight w:val="0"/>
      <w:marTop w:val="0"/>
      <w:marBottom w:val="0"/>
      <w:divBdr>
        <w:top w:val="none" w:sz="0" w:space="0" w:color="auto"/>
        <w:left w:val="none" w:sz="0" w:space="0" w:color="auto"/>
        <w:bottom w:val="none" w:sz="0" w:space="0" w:color="auto"/>
        <w:right w:val="none" w:sz="0" w:space="0" w:color="auto"/>
      </w:divBdr>
      <w:divsChild>
        <w:div w:id="808673995">
          <w:marLeft w:val="0"/>
          <w:marRight w:val="0"/>
          <w:marTop w:val="0"/>
          <w:marBottom w:val="0"/>
          <w:divBdr>
            <w:top w:val="none" w:sz="0" w:space="0" w:color="auto"/>
            <w:left w:val="none" w:sz="0" w:space="0" w:color="auto"/>
            <w:bottom w:val="none" w:sz="0" w:space="0" w:color="auto"/>
            <w:right w:val="none" w:sz="0" w:space="0" w:color="auto"/>
          </w:divBdr>
          <w:divsChild>
            <w:div w:id="764619673">
              <w:marLeft w:val="0"/>
              <w:marRight w:val="0"/>
              <w:marTop w:val="0"/>
              <w:marBottom w:val="0"/>
              <w:divBdr>
                <w:top w:val="none" w:sz="0" w:space="0" w:color="auto"/>
                <w:left w:val="none" w:sz="0" w:space="0" w:color="auto"/>
                <w:bottom w:val="none" w:sz="0" w:space="0" w:color="auto"/>
                <w:right w:val="none" w:sz="0" w:space="0" w:color="auto"/>
              </w:divBdr>
              <w:divsChild>
                <w:div w:id="978345221">
                  <w:marLeft w:val="0"/>
                  <w:marRight w:val="0"/>
                  <w:marTop w:val="0"/>
                  <w:marBottom w:val="0"/>
                  <w:divBdr>
                    <w:top w:val="none" w:sz="0" w:space="0" w:color="auto"/>
                    <w:left w:val="none" w:sz="0" w:space="0" w:color="auto"/>
                    <w:bottom w:val="none" w:sz="0" w:space="0" w:color="auto"/>
                    <w:right w:val="none" w:sz="0" w:space="0" w:color="auto"/>
                  </w:divBdr>
                  <w:divsChild>
                    <w:div w:id="1073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13898">
      <w:bodyDiv w:val="1"/>
      <w:marLeft w:val="0"/>
      <w:marRight w:val="0"/>
      <w:marTop w:val="0"/>
      <w:marBottom w:val="0"/>
      <w:divBdr>
        <w:top w:val="none" w:sz="0" w:space="0" w:color="auto"/>
        <w:left w:val="none" w:sz="0" w:space="0" w:color="auto"/>
        <w:bottom w:val="none" w:sz="0" w:space="0" w:color="auto"/>
        <w:right w:val="none" w:sz="0" w:space="0" w:color="auto"/>
      </w:divBdr>
    </w:div>
    <w:div w:id="896160693">
      <w:bodyDiv w:val="1"/>
      <w:marLeft w:val="0"/>
      <w:marRight w:val="0"/>
      <w:marTop w:val="0"/>
      <w:marBottom w:val="0"/>
      <w:divBdr>
        <w:top w:val="none" w:sz="0" w:space="0" w:color="auto"/>
        <w:left w:val="none" w:sz="0" w:space="0" w:color="auto"/>
        <w:bottom w:val="none" w:sz="0" w:space="0" w:color="auto"/>
        <w:right w:val="none" w:sz="0" w:space="0" w:color="auto"/>
      </w:divBdr>
      <w:divsChild>
        <w:div w:id="1280649677">
          <w:marLeft w:val="0"/>
          <w:marRight w:val="0"/>
          <w:marTop w:val="0"/>
          <w:marBottom w:val="0"/>
          <w:divBdr>
            <w:top w:val="none" w:sz="0" w:space="0" w:color="auto"/>
            <w:left w:val="none" w:sz="0" w:space="0" w:color="auto"/>
            <w:bottom w:val="none" w:sz="0" w:space="0" w:color="auto"/>
            <w:right w:val="none" w:sz="0" w:space="0" w:color="auto"/>
          </w:divBdr>
          <w:divsChild>
            <w:div w:id="255753870">
              <w:marLeft w:val="0"/>
              <w:marRight w:val="0"/>
              <w:marTop w:val="0"/>
              <w:marBottom w:val="0"/>
              <w:divBdr>
                <w:top w:val="none" w:sz="0" w:space="0" w:color="auto"/>
                <w:left w:val="none" w:sz="0" w:space="0" w:color="auto"/>
                <w:bottom w:val="none" w:sz="0" w:space="0" w:color="auto"/>
                <w:right w:val="none" w:sz="0" w:space="0" w:color="auto"/>
              </w:divBdr>
              <w:divsChild>
                <w:div w:id="1726684065">
                  <w:marLeft w:val="0"/>
                  <w:marRight w:val="0"/>
                  <w:marTop w:val="0"/>
                  <w:marBottom w:val="0"/>
                  <w:divBdr>
                    <w:top w:val="none" w:sz="0" w:space="0" w:color="auto"/>
                    <w:left w:val="none" w:sz="0" w:space="0" w:color="auto"/>
                    <w:bottom w:val="none" w:sz="0" w:space="0" w:color="auto"/>
                    <w:right w:val="none" w:sz="0" w:space="0" w:color="auto"/>
                  </w:divBdr>
                  <w:divsChild>
                    <w:div w:id="5142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7236">
      <w:bodyDiv w:val="1"/>
      <w:marLeft w:val="0"/>
      <w:marRight w:val="0"/>
      <w:marTop w:val="0"/>
      <w:marBottom w:val="0"/>
      <w:divBdr>
        <w:top w:val="none" w:sz="0" w:space="0" w:color="auto"/>
        <w:left w:val="none" w:sz="0" w:space="0" w:color="auto"/>
        <w:bottom w:val="none" w:sz="0" w:space="0" w:color="auto"/>
        <w:right w:val="none" w:sz="0" w:space="0" w:color="auto"/>
      </w:divBdr>
      <w:divsChild>
        <w:div w:id="548685704">
          <w:marLeft w:val="0"/>
          <w:marRight w:val="0"/>
          <w:marTop w:val="0"/>
          <w:marBottom w:val="0"/>
          <w:divBdr>
            <w:top w:val="none" w:sz="0" w:space="0" w:color="auto"/>
            <w:left w:val="none" w:sz="0" w:space="0" w:color="auto"/>
            <w:bottom w:val="none" w:sz="0" w:space="0" w:color="auto"/>
            <w:right w:val="none" w:sz="0" w:space="0" w:color="auto"/>
          </w:divBdr>
          <w:divsChild>
            <w:div w:id="1165977077">
              <w:marLeft w:val="0"/>
              <w:marRight w:val="0"/>
              <w:marTop w:val="0"/>
              <w:marBottom w:val="0"/>
              <w:divBdr>
                <w:top w:val="none" w:sz="0" w:space="0" w:color="auto"/>
                <w:left w:val="none" w:sz="0" w:space="0" w:color="auto"/>
                <w:bottom w:val="none" w:sz="0" w:space="0" w:color="auto"/>
                <w:right w:val="none" w:sz="0" w:space="0" w:color="auto"/>
              </w:divBdr>
              <w:divsChild>
                <w:div w:id="1684477608">
                  <w:marLeft w:val="0"/>
                  <w:marRight w:val="0"/>
                  <w:marTop w:val="0"/>
                  <w:marBottom w:val="0"/>
                  <w:divBdr>
                    <w:top w:val="none" w:sz="0" w:space="0" w:color="auto"/>
                    <w:left w:val="none" w:sz="0" w:space="0" w:color="auto"/>
                    <w:bottom w:val="none" w:sz="0" w:space="0" w:color="auto"/>
                    <w:right w:val="none" w:sz="0" w:space="0" w:color="auto"/>
                  </w:divBdr>
                  <w:divsChild>
                    <w:div w:id="395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96033">
      <w:bodyDiv w:val="1"/>
      <w:marLeft w:val="0"/>
      <w:marRight w:val="0"/>
      <w:marTop w:val="0"/>
      <w:marBottom w:val="0"/>
      <w:divBdr>
        <w:top w:val="none" w:sz="0" w:space="0" w:color="auto"/>
        <w:left w:val="none" w:sz="0" w:space="0" w:color="auto"/>
        <w:bottom w:val="none" w:sz="0" w:space="0" w:color="auto"/>
        <w:right w:val="none" w:sz="0" w:space="0" w:color="auto"/>
      </w:divBdr>
    </w:div>
    <w:div w:id="1284071407">
      <w:bodyDiv w:val="1"/>
      <w:marLeft w:val="0"/>
      <w:marRight w:val="0"/>
      <w:marTop w:val="0"/>
      <w:marBottom w:val="0"/>
      <w:divBdr>
        <w:top w:val="none" w:sz="0" w:space="0" w:color="auto"/>
        <w:left w:val="none" w:sz="0" w:space="0" w:color="auto"/>
        <w:bottom w:val="none" w:sz="0" w:space="0" w:color="auto"/>
        <w:right w:val="none" w:sz="0" w:space="0" w:color="auto"/>
      </w:divBdr>
      <w:divsChild>
        <w:div w:id="2124883873">
          <w:marLeft w:val="0"/>
          <w:marRight w:val="0"/>
          <w:marTop w:val="0"/>
          <w:marBottom w:val="0"/>
          <w:divBdr>
            <w:top w:val="none" w:sz="0" w:space="0" w:color="auto"/>
            <w:left w:val="none" w:sz="0" w:space="0" w:color="auto"/>
            <w:bottom w:val="none" w:sz="0" w:space="0" w:color="auto"/>
            <w:right w:val="none" w:sz="0" w:space="0" w:color="auto"/>
          </w:divBdr>
          <w:divsChild>
            <w:div w:id="528220637">
              <w:marLeft w:val="0"/>
              <w:marRight w:val="0"/>
              <w:marTop w:val="0"/>
              <w:marBottom w:val="0"/>
              <w:divBdr>
                <w:top w:val="none" w:sz="0" w:space="0" w:color="auto"/>
                <w:left w:val="none" w:sz="0" w:space="0" w:color="auto"/>
                <w:bottom w:val="none" w:sz="0" w:space="0" w:color="auto"/>
                <w:right w:val="none" w:sz="0" w:space="0" w:color="auto"/>
              </w:divBdr>
              <w:divsChild>
                <w:div w:id="310986034">
                  <w:marLeft w:val="0"/>
                  <w:marRight w:val="0"/>
                  <w:marTop w:val="0"/>
                  <w:marBottom w:val="0"/>
                  <w:divBdr>
                    <w:top w:val="none" w:sz="0" w:space="0" w:color="auto"/>
                    <w:left w:val="none" w:sz="0" w:space="0" w:color="auto"/>
                    <w:bottom w:val="none" w:sz="0" w:space="0" w:color="auto"/>
                    <w:right w:val="none" w:sz="0" w:space="0" w:color="auto"/>
                  </w:divBdr>
                  <w:divsChild>
                    <w:div w:id="1657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9086">
      <w:bodyDiv w:val="1"/>
      <w:marLeft w:val="0"/>
      <w:marRight w:val="0"/>
      <w:marTop w:val="0"/>
      <w:marBottom w:val="0"/>
      <w:divBdr>
        <w:top w:val="none" w:sz="0" w:space="0" w:color="auto"/>
        <w:left w:val="none" w:sz="0" w:space="0" w:color="auto"/>
        <w:bottom w:val="none" w:sz="0" w:space="0" w:color="auto"/>
        <w:right w:val="none" w:sz="0" w:space="0" w:color="auto"/>
      </w:divBdr>
      <w:divsChild>
        <w:div w:id="305162923">
          <w:marLeft w:val="0"/>
          <w:marRight w:val="0"/>
          <w:marTop w:val="0"/>
          <w:marBottom w:val="0"/>
          <w:divBdr>
            <w:top w:val="none" w:sz="0" w:space="0" w:color="auto"/>
            <w:left w:val="none" w:sz="0" w:space="0" w:color="auto"/>
            <w:bottom w:val="none" w:sz="0" w:space="0" w:color="auto"/>
            <w:right w:val="none" w:sz="0" w:space="0" w:color="auto"/>
          </w:divBdr>
          <w:divsChild>
            <w:div w:id="332077518">
              <w:marLeft w:val="0"/>
              <w:marRight w:val="0"/>
              <w:marTop w:val="0"/>
              <w:marBottom w:val="0"/>
              <w:divBdr>
                <w:top w:val="none" w:sz="0" w:space="0" w:color="auto"/>
                <w:left w:val="none" w:sz="0" w:space="0" w:color="auto"/>
                <w:bottom w:val="none" w:sz="0" w:space="0" w:color="auto"/>
                <w:right w:val="none" w:sz="0" w:space="0" w:color="auto"/>
              </w:divBdr>
              <w:divsChild>
                <w:div w:id="1751124206">
                  <w:marLeft w:val="0"/>
                  <w:marRight w:val="0"/>
                  <w:marTop w:val="0"/>
                  <w:marBottom w:val="0"/>
                  <w:divBdr>
                    <w:top w:val="none" w:sz="0" w:space="0" w:color="auto"/>
                    <w:left w:val="none" w:sz="0" w:space="0" w:color="auto"/>
                    <w:bottom w:val="none" w:sz="0" w:space="0" w:color="auto"/>
                    <w:right w:val="none" w:sz="0" w:space="0" w:color="auto"/>
                  </w:divBdr>
                  <w:divsChild>
                    <w:div w:id="5262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50569">
      <w:bodyDiv w:val="1"/>
      <w:marLeft w:val="0"/>
      <w:marRight w:val="0"/>
      <w:marTop w:val="0"/>
      <w:marBottom w:val="0"/>
      <w:divBdr>
        <w:top w:val="none" w:sz="0" w:space="0" w:color="auto"/>
        <w:left w:val="none" w:sz="0" w:space="0" w:color="auto"/>
        <w:bottom w:val="none" w:sz="0" w:space="0" w:color="auto"/>
        <w:right w:val="none" w:sz="0" w:space="0" w:color="auto"/>
      </w:divBdr>
      <w:divsChild>
        <w:div w:id="762846719">
          <w:marLeft w:val="0"/>
          <w:marRight w:val="0"/>
          <w:marTop w:val="0"/>
          <w:marBottom w:val="0"/>
          <w:divBdr>
            <w:top w:val="none" w:sz="0" w:space="0" w:color="auto"/>
            <w:left w:val="none" w:sz="0" w:space="0" w:color="auto"/>
            <w:bottom w:val="none" w:sz="0" w:space="0" w:color="auto"/>
            <w:right w:val="none" w:sz="0" w:space="0" w:color="auto"/>
          </w:divBdr>
          <w:divsChild>
            <w:div w:id="129397362">
              <w:marLeft w:val="0"/>
              <w:marRight w:val="0"/>
              <w:marTop w:val="0"/>
              <w:marBottom w:val="0"/>
              <w:divBdr>
                <w:top w:val="none" w:sz="0" w:space="0" w:color="auto"/>
                <w:left w:val="none" w:sz="0" w:space="0" w:color="auto"/>
                <w:bottom w:val="none" w:sz="0" w:space="0" w:color="auto"/>
                <w:right w:val="none" w:sz="0" w:space="0" w:color="auto"/>
              </w:divBdr>
              <w:divsChild>
                <w:div w:id="1848061598">
                  <w:marLeft w:val="0"/>
                  <w:marRight w:val="0"/>
                  <w:marTop w:val="0"/>
                  <w:marBottom w:val="0"/>
                  <w:divBdr>
                    <w:top w:val="none" w:sz="0" w:space="0" w:color="auto"/>
                    <w:left w:val="none" w:sz="0" w:space="0" w:color="auto"/>
                    <w:bottom w:val="none" w:sz="0" w:space="0" w:color="auto"/>
                    <w:right w:val="none" w:sz="0" w:space="0" w:color="auto"/>
                  </w:divBdr>
                  <w:divsChild>
                    <w:div w:id="12252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93218">
      <w:bodyDiv w:val="1"/>
      <w:marLeft w:val="0"/>
      <w:marRight w:val="0"/>
      <w:marTop w:val="0"/>
      <w:marBottom w:val="0"/>
      <w:divBdr>
        <w:top w:val="none" w:sz="0" w:space="0" w:color="auto"/>
        <w:left w:val="none" w:sz="0" w:space="0" w:color="auto"/>
        <w:bottom w:val="none" w:sz="0" w:space="0" w:color="auto"/>
        <w:right w:val="none" w:sz="0" w:space="0" w:color="auto"/>
      </w:divBdr>
      <w:divsChild>
        <w:div w:id="623119831">
          <w:marLeft w:val="0"/>
          <w:marRight w:val="0"/>
          <w:marTop w:val="0"/>
          <w:marBottom w:val="0"/>
          <w:divBdr>
            <w:top w:val="none" w:sz="0" w:space="0" w:color="auto"/>
            <w:left w:val="none" w:sz="0" w:space="0" w:color="auto"/>
            <w:bottom w:val="none" w:sz="0" w:space="0" w:color="auto"/>
            <w:right w:val="none" w:sz="0" w:space="0" w:color="auto"/>
          </w:divBdr>
          <w:divsChild>
            <w:div w:id="1731420164">
              <w:marLeft w:val="0"/>
              <w:marRight w:val="0"/>
              <w:marTop w:val="0"/>
              <w:marBottom w:val="0"/>
              <w:divBdr>
                <w:top w:val="none" w:sz="0" w:space="0" w:color="auto"/>
                <w:left w:val="none" w:sz="0" w:space="0" w:color="auto"/>
                <w:bottom w:val="none" w:sz="0" w:space="0" w:color="auto"/>
                <w:right w:val="none" w:sz="0" w:space="0" w:color="auto"/>
              </w:divBdr>
              <w:divsChild>
                <w:div w:id="1597514453">
                  <w:marLeft w:val="0"/>
                  <w:marRight w:val="0"/>
                  <w:marTop w:val="0"/>
                  <w:marBottom w:val="0"/>
                  <w:divBdr>
                    <w:top w:val="none" w:sz="0" w:space="0" w:color="auto"/>
                    <w:left w:val="none" w:sz="0" w:space="0" w:color="auto"/>
                    <w:bottom w:val="none" w:sz="0" w:space="0" w:color="auto"/>
                    <w:right w:val="none" w:sz="0" w:space="0" w:color="auto"/>
                  </w:divBdr>
                  <w:divsChild>
                    <w:div w:id="1440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5863">
      <w:bodyDiv w:val="1"/>
      <w:marLeft w:val="0"/>
      <w:marRight w:val="0"/>
      <w:marTop w:val="0"/>
      <w:marBottom w:val="0"/>
      <w:divBdr>
        <w:top w:val="none" w:sz="0" w:space="0" w:color="auto"/>
        <w:left w:val="none" w:sz="0" w:space="0" w:color="auto"/>
        <w:bottom w:val="none" w:sz="0" w:space="0" w:color="auto"/>
        <w:right w:val="none" w:sz="0" w:space="0" w:color="auto"/>
      </w:divBdr>
    </w:div>
    <w:div w:id="2061436054">
      <w:bodyDiv w:val="1"/>
      <w:marLeft w:val="0"/>
      <w:marRight w:val="0"/>
      <w:marTop w:val="0"/>
      <w:marBottom w:val="0"/>
      <w:divBdr>
        <w:top w:val="none" w:sz="0" w:space="0" w:color="auto"/>
        <w:left w:val="none" w:sz="0" w:space="0" w:color="auto"/>
        <w:bottom w:val="none" w:sz="0" w:space="0" w:color="auto"/>
        <w:right w:val="none" w:sz="0" w:space="0" w:color="auto"/>
      </w:divBdr>
    </w:div>
    <w:div w:id="2081907875">
      <w:bodyDiv w:val="1"/>
      <w:marLeft w:val="0"/>
      <w:marRight w:val="0"/>
      <w:marTop w:val="0"/>
      <w:marBottom w:val="0"/>
      <w:divBdr>
        <w:top w:val="none" w:sz="0" w:space="0" w:color="auto"/>
        <w:left w:val="none" w:sz="0" w:space="0" w:color="auto"/>
        <w:bottom w:val="none" w:sz="0" w:space="0" w:color="auto"/>
        <w:right w:val="none" w:sz="0" w:space="0" w:color="auto"/>
      </w:divBdr>
    </w:div>
    <w:div w:id="2112357546">
      <w:bodyDiv w:val="1"/>
      <w:marLeft w:val="0"/>
      <w:marRight w:val="0"/>
      <w:marTop w:val="0"/>
      <w:marBottom w:val="0"/>
      <w:divBdr>
        <w:top w:val="none" w:sz="0" w:space="0" w:color="auto"/>
        <w:left w:val="none" w:sz="0" w:space="0" w:color="auto"/>
        <w:bottom w:val="none" w:sz="0" w:space="0" w:color="auto"/>
        <w:right w:val="none" w:sz="0" w:space="0" w:color="auto"/>
      </w:divBdr>
      <w:divsChild>
        <w:div w:id="2036492015">
          <w:marLeft w:val="0"/>
          <w:marRight w:val="0"/>
          <w:marTop w:val="0"/>
          <w:marBottom w:val="0"/>
          <w:divBdr>
            <w:top w:val="none" w:sz="0" w:space="0" w:color="auto"/>
            <w:left w:val="none" w:sz="0" w:space="0" w:color="auto"/>
            <w:bottom w:val="none" w:sz="0" w:space="0" w:color="auto"/>
            <w:right w:val="none" w:sz="0" w:space="0" w:color="auto"/>
          </w:divBdr>
          <w:divsChild>
            <w:div w:id="1575044868">
              <w:marLeft w:val="0"/>
              <w:marRight w:val="0"/>
              <w:marTop w:val="0"/>
              <w:marBottom w:val="0"/>
              <w:divBdr>
                <w:top w:val="none" w:sz="0" w:space="0" w:color="auto"/>
                <w:left w:val="none" w:sz="0" w:space="0" w:color="auto"/>
                <w:bottom w:val="none" w:sz="0" w:space="0" w:color="auto"/>
                <w:right w:val="none" w:sz="0" w:space="0" w:color="auto"/>
              </w:divBdr>
              <w:divsChild>
                <w:div w:id="115489135">
                  <w:marLeft w:val="0"/>
                  <w:marRight w:val="0"/>
                  <w:marTop w:val="0"/>
                  <w:marBottom w:val="0"/>
                  <w:divBdr>
                    <w:top w:val="none" w:sz="0" w:space="0" w:color="auto"/>
                    <w:left w:val="none" w:sz="0" w:space="0" w:color="auto"/>
                    <w:bottom w:val="none" w:sz="0" w:space="0" w:color="auto"/>
                    <w:right w:val="none" w:sz="0" w:space="0" w:color="auto"/>
                  </w:divBdr>
                  <w:divsChild>
                    <w:div w:id="2369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esktop\Toimetulekutoetuse%20piirm&#228;&#228;rad_eeln&#245;u.do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73A1C-93C9-4545-88B1-E59835A2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Toimetulekutoetuse piirmäärad_eelnõu.dot</Template>
  <TotalTime>1</TotalTime>
  <Pages>5</Pages>
  <Words>1638</Words>
  <Characters>11548</Characters>
  <Application>Microsoft Office Word</Application>
  <DocSecurity>0</DocSecurity>
  <Lines>96</Lines>
  <Paragraphs>26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Viljandi Linnavalitsus</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Kiis</dc:creator>
  <cp:lastModifiedBy>Kadri Kobin</cp:lastModifiedBy>
  <cp:revision>2</cp:revision>
  <cp:lastPrinted>2021-11-18T12:09:00Z</cp:lastPrinted>
  <dcterms:created xsi:type="dcterms:W3CDTF">2022-05-30T12:33:00Z</dcterms:created>
  <dcterms:modified xsi:type="dcterms:W3CDTF">2022-05-30T12:33:00Z</dcterms:modified>
</cp:coreProperties>
</file>