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00000" w:rsidRDefault="00797344">
      <w:pPr>
        <w:rPr>
          <w:sz w:val="24"/>
          <w:szCs w:val="24"/>
        </w:rPr>
      </w:pPr>
      <w:bookmarkStart w:id="0" w:name="_GoBack"/>
      <w:bookmarkEnd w:id="0"/>
    </w:p>
    <w:p w:rsidR="00000000" w:rsidRDefault="00797344">
      <w:pPr>
        <w:rPr>
          <w:sz w:val="24"/>
          <w:szCs w:val="24"/>
        </w:rPr>
      </w:pPr>
    </w:p>
    <w:p w:rsidR="00000000" w:rsidRDefault="00797344">
      <w:r>
        <w:rPr>
          <w:sz w:val="24"/>
          <w:szCs w:val="24"/>
        </w:rPr>
        <w:t>Viljandi Linnavalitsus</w:t>
      </w:r>
    </w:p>
    <w:p w:rsidR="00000000" w:rsidRDefault="00797344">
      <w:r>
        <w:rPr>
          <w:sz w:val="24"/>
          <w:szCs w:val="24"/>
        </w:rPr>
        <w:t>Linnu 2</w:t>
      </w:r>
    </w:p>
    <w:p w:rsidR="00000000" w:rsidRDefault="00797344">
      <w:r>
        <w:rPr>
          <w:sz w:val="24"/>
          <w:szCs w:val="24"/>
        </w:rPr>
        <w:t>71020 Viljandi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28.04.2021 nr  4-13/1457</w:t>
      </w:r>
    </w:p>
    <w:p w:rsidR="00000000" w:rsidRDefault="00797344">
      <w:pPr>
        <w:rPr>
          <w:sz w:val="24"/>
          <w:szCs w:val="24"/>
        </w:rPr>
      </w:pPr>
      <w:hyperlink r:id="rId7" w:history="1">
        <w:r>
          <w:rPr>
            <w:rStyle w:val="Hperlink"/>
            <w:sz w:val="24"/>
            <w:szCs w:val="24"/>
          </w:rPr>
          <w:t>viljandi@viljandi.ee</w:t>
        </w:r>
      </w:hyperlink>
    </w:p>
    <w:p w:rsidR="00000000" w:rsidRDefault="00797344">
      <w:pPr>
        <w:rPr>
          <w:sz w:val="24"/>
          <w:szCs w:val="24"/>
        </w:rPr>
      </w:pPr>
    </w:p>
    <w:p w:rsidR="00000000" w:rsidRDefault="00797344">
      <w:pPr>
        <w:rPr>
          <w:sz w:val="24"/>
          <w:szCs w:val="24"/>
        </w:rPr>
      </w:pPr>
    </w:p>
    <w:p w:rsidR="00000000" w:rsidRDefault="00797344">
      <w:pPr>
        <w:rPr>
          <w:sz w:val="24"/>
          <w:szCs w:val="24"/>
        </w:rPr>
      </w:pPr>
    </w:p>
    <w:p w:rsidR="00000000" w:rsidRDefault="00797344">
      <w:pPr>
        <w:rPr>
          <w:sz w:val="24"/>
          <w:szCs w:val="24"/>
        </w:rPr>
      </w:pPr>
    </w:p>
    <w:p w:rsidR="00000000" w:rsidRDefault="00797344">
      <w:pPr>
        <w:rPr>
          <w:sz w:val="24"/>
          <w:szCs w:val="24"/>
        </w:rPr>
      </w:pPr>
    </w:p>
    <w:p w:rsidR="00000000" w:rsidRDefault="00797344">
      <w:r>
        <w:rPr>
          <w:sz w:val="24"/>
          <w:szCs w:val="24"/>
        </w:rPr>
        <w:t>Toetus Tervikumile</w:t>
      </w:r>
    </w:p>
    <w:p w:rsidR="00000000" w:rsidRDefault="00797344">
      <w:pPr>
        <w:rPr>
          <w:sz w:val="24"/>
          <w:szCs w:val="24"/>
        </w:rPr>
      </w:pPr>
    </w:p>
    <w:p w:rsidR="00000000" w:rsidRDefault="00797344">
      <w:pPr>
        <w:rPr>
          <w:sz w:val="24"/>
          <w:szCs w:val="24"/>
        </w:rPr>
      </w:pPr>
    </w:p>
    <w:p w:rsidR="00000000" w:rsidRDefault="00797344">
      <w:r>
        <w:rPr>
          <w:sz w:val="24"/>
          <w:szCs w:val="24"/>
        </w:rPr>
        <w:t>Viljandi haigla koos perearstidega on jõudnud hetke, kus tuleb otsustada maakonna inim</w:t>
      </w:r>
      <w:r>
        <w:rPr>
          <w:sz w:val="24"/>
          <w:szCs w:val="24"/>
        </w:rPr>
        <w:t xml:space="preserve">este tervise seisukohalt olulise maakondliku haigla ja tervisekeskuse ehk Tervikumi loomisega alustamine. </w:t>
      </w:r>
      <w:r>
        <w:rPr>
          <w:sz w:val="24"/>
          <w:szCs w:val="24"/>
        </w:rPr>
        <w:br/>
        <w:t>Vajame kindlust, et oleme võimelised kogu protsessiga tähtajaks lõpuni jõudma, milleks on tarvis lisafinantseeringut. Haigla nõukogule, valitsusele j</w:t>
      </w:r>
      <w:r>
        <w:rPr>
          <w:sz w:val="24"/>
          <w:szCs w:val="24"/>
        </w:rPr>
        <w:t>a sotsiaalministeeriumile on täiendavate finantseeringute leidmisel oluline maakonna omavalitsuste jätkuv toetus.</w:t>
      </w:r>
    </w:p>
    <w:p w:rsidR="00000000" w:rsidRDefault="00797344">
      <w:pPr>
        <w:rPr>
          <w:sz w:val="24"/>
          <w:szCs w:val="24"/>
        </w:rPr>
      </w:pPr>
    </w:p>
    <w:p w:rsidR="00000000" w:rsidRDefault="00797344">
      <w:pPr>
        <w:spacing w:line="256" w:lineRule="auto"/>
      </w:pPr>
      <w:r>
        <w:rPr>
          <w:sz w:val="24"/>
          <w:szCs w:val="24"/>
        </w:rPr>
        <w:t>Tervikumi loomise olulisim eesmärk on koostöö ja ühistoimimine partneritega (esmatasand/perearstid, regionaalhaiglad ja sotsiaalvaldkond) tee</w:t>
      </w:r>
      <w:r>
        <w:rPr>
          <w:sz w:val="24"/>
          <w:szCs w:val="24"/>
        </w:rPr>
        <w:t xml:space="preserve">nuste osutamiseks maakonna inimesele. Teenuste füüsiline lähedus soodustab koostööd, et tervishoiu ja sotsiaalteenused oleksid inimesele kättesaadavamad. </w:t>
      </w:r>
      <w:r>
        <w:rPr>
          <w:sz w:val="24"/>
          <w:szCs w:val="24"/>
        </w:rPr>
        <w:br/>
        <w:t>Tervikumi asukoht kesklinnas, bussijaama läheduses muudab paljud teenused ka füüsiliselt kättesaadava</w:t>
      </w:r>
      <w:r>
        <w:rPr>
          <w:sz w:val="24"/>
          <w:szCs w:val="24"/>
        </w:rPr>
        <w:t xml:space="preserve">maks. Esmaste teenuste kättesaadavust pidasid oluliseks 15 perearsti, kelle jaoks lähedus oma nimistu inimestele on eriti oluline - nende nimistutes on inimesi üle terve maakonna. </w:t>
      </w:r>
    </w:p>
    <w:p w:rsidR="00000000" w:rsidRDefault="00797344">
      <w:pPr>
        <w:spacing w:line="256" w:lineRule="auto"/>
      </w:pPr>
      <w:r>
        <w:rPr>
          <w:sz w:val="24"/>
          <w:szCs w:val="24"/>
        </w:rPr>
        <w:t>Seega on Tervikumis maakonna inimestele ühisel taristul ja tänapäevasel tas</w:t>
      </w:r>
      <w:r>
        <w:rPr>
          <w:sz w:val="24"/>
          <w:szCs w:val="24"/>
        </w:rPr>
        <w:t>emel lihtsasti kättesaadavad perearstid, sotsiaalteenused,  eriarstid, diagnostika, taastusravi, erakorraline meditsiin, apteek jne. Samuti loob Tervikum head eeldused uute noorte spetsialistide, eriti perearstide ja õdede leidmiseks maakonda.</w:t>
      </w:r>
    </w:p>
    <w:p w:rsidR="00000000" w:rsidRDefault="00797344">
      <w:pPr>
        <w:spacing w:line="256" w:lineRule="auto"/>
        <w:rPr>
          <w:sz w:val="24"/>
          <w:szCs w:val="24"/>
        </w:rPr>
      </w:pPr>
    </w:p>
    <w:p w:rsidR="00000000" w:rsidRDefault="00797344">
      <w:pPr>
        <w:spacing w:line="256" w:lineRule="auto"/>
      </w:pPr>
      <w:r>
        <w:rPr>
          <w:sz w:val="24"/>
          <w:szCs w:val="24"/>
        </w:rPr>
        <w:t>Tervikumi r</w:t>
      </w:r>
      <w:r>
        <w:rPr>
          <w:sz w:val="24"/>
          <w:szCs w:val="24"/>
        </w:rPr>
        <w:t>ajamise esialgne finantseerimise kava koosnes 31,5 miljonist eurost Euroopa Liidu struktuurifondidest, 4,5 miljonist eurost riiklikest vahenditest ning haigla omafinantseeringust,sh laen, 11,4 miljonit. Kokku 47,4 miljonit eurot, mis kattis kogu projekti e</w:t>
      </w:r>
      <w:r>
        <w:rPr>
          <w:sz w:val="24"/>
          <w:szCs w:val="24"/>
        </w:rPr>
        <w:t xml:space="preserve">elarve, st lisaks ehitusmaksumusele ka meditsiiniseadmed, sisustus ja kõik kaasnevad kulud. </w:t>
      </w:r>
    </w:p>
    <w:p w:rsidR="00000000" w:rsidRDefault="00797344">
      <w:pPr>
        <w:spacing w:line="256" w:lineRule="auto"/>
        <w:rPr>
          <w:sz w:val="24"/>
          <w:szCs w:val="24"/>
        </w:rPr>
      </w:pPr>
    </w:p>
    <w:p w:rsidR="00000000" w:rsidRDefault="00797344">
      <w:pPr>
        <w:spacing w:line="256" w:lineRule="auto"/>
      </w:pPr>
      <w:r>
        <w:rPr>
          <w:sz w:val="24"/>
          <w:szCs w:val="24"/>
        </w:rPr>
        <w:t>Tänaseks on kogu eelarveks kujunenud 58,3 miljonit eurot, mis on tingitud eeldatust 10,9 miljonit kallimaks kujunenud ehitusmaksumusest - 47,2 miljonit eurot.</w:t>
      </w:r>
      <w:r>
        <w:rPr>
          <w:sz w:val="24"/>
          <w:szCs w:val="24"/>
        </w:rPr>
        <w:br/>
      </w:r>
    </w:p>
    <w:p w:rsidR="00000000" w:rsidRDefault="00797344">
      <w:pPr>
        <w:spacing w:line="256" w:lineRule="auto"/>
      </w:pPr>
      <w:r>
        <w:rPr>
          <w:sz w:val="24"/>
          <w:szCs w:val="24"/>
        </w:rPr>
        <w:t>So</w:t>
      </w:r>
      <w:r>
        <w:rPr>
          <w:sz w:val="24"/>
          <w:szCs w:val="24"/>
        </w:rPr>
        <w:t xml:space="preserve">tsiaalministeerium ja Vabariigi Valitsus on otsustanud eraldada projekti elluviimiseks täiendavaid vahendeid 8,2 miljonit eurot. </w:t>
      </w:r>
      <w:r>
        <w:rPr>
          <w:sz w:val="24"/>
          <w:szCs w:val="24"/>
        </w:rPr>
        <w:br/>
        <w:t>Tulenevalt asjaolust, et suur osa eelarvest moodustava Euroopa Regionaalarengu Fondi rahastuse tingimus on Tervikumi avamine a</w:t>
      </w:r>
      <w:r>
        <w:rPr>
          <w:sz w:val="24"/>
          <w:szCs w:val="24"/>
        </w:rPr>
        <w:t xml:space="preserve">ugustis 2023, peame puuduva 2,7 miljoni lähema aasta jooksul </w:t>
      </w:r>
      <w:r>
        <w:rPr>
          <w:sz w:val="24"/>
          <w:szCs w:val="24"/>
        </w:rPr>
        <w:lastRenderedPageBreak/>
        <w:t xml:space="preserve">leidmiseks jätkuvalt läbirääkimisi, oleme alustanud toetusfondi loomist ning pöördume teie poole. </w:t>
      </w:r>
    </w:p>
    <w:p w:rsidR="00000000" w:rsidRDefault="00797344">
      <w:pPr>
        <w:rPr>
          <w:sz w:val="24"/>
          <w:szCs w:val="24"/>
        </w:rPr>
      </w:pPr>
    </w:p>
    <w:p w:rsidR="00000000" w:rsidRDefault="00797344">
      <w:r>
        <w:rPr>
          <w:sz w:val="24"/>
          <w:szCs w:val="24"/>
        </w:rPr>
        <w:t>Teeme ettepaneku toetada Viljandi haigla uue hoone ehitamist toetuskirjaga ning planeerida võim</w:t>
      </w:r>
      <w:r>
        <w:rPr>
          <w:sz w:val="24"/>
          <w:szCs w:val="24"/>
        </w:rPr>
        <w:t>aluste piires rahaline toetus 2022. aasta esimesse poolde.</w:t>
      </w:r>
    </w:p>
    <w:p w:rsidR="00000000" w:rsidRDefault="00797344">
      <w:pPr>
        <w:rPr>
          <w:sz w:val="24"/>
          <w:szCs w:val="24"/>
        </w:rPr>
      </w:pPr>
    </w:p>
    <w:p w:rsidR="00000000" w:rsidRDefault="00797344">
      <w:r>
        <w:rPr>
          <w:sz w:val="24"/>
          <w:szCs w:val="24"/>
        </w:rPr>
        <w:t xml:space="preserve">Andke palun teada, mida meie ettepanekutest arvate ning millal teile sobib kohtuda. </w:t>
      </w:r>
    </w:p>
    <w:p w:rsidR="00000000" w:rsidRDefault="00797344">
      <w:pPr>
        <w:rPr>
          <w:sz w:val="24"/>
          <w:szCs w:val="24"/>
        </w:rPr>
      </w:pPr>
    </w:p>
    <w:p w:rsidR="00000000" w:rsidRDefault="00797344">
      <w:pPr>
        <w:rPr>
          <w:sz w:val="24"/>
          <w:szCs w:val="24"/>
        </w:rPr>
      </w:pPr>
    </w:p>
    <w:p w:rsidR="00000000" w:rsidRDefault="00797344">
      <w:r>
        <w:rPr>
          <w:sz w:val="24"/>
          <w:szCs w:val="24"/>
        </w:rPr>
        <w:t>Lugupidamisega</w:t>
      </w:r>
    </w:p>
    <w:p w:rsidR="00000000" w:rsidRDefault="00797344">
      <w:pPr>
        <w:rPr>
          <w:sz w:val="24"/>
          <w:szCs w:val="24"/>
        </w:rPr>
      </w:pPr>
    </w:p>
    <w:p w:rsidR="00000000" w:rsidRDefault="00797344">
      <w:pPr>
        <w:rPr>
          <w:sz w:val="24"/>
          <w:szCs w:val="24"/>
        </w:rPr>
      </w:pPr>
    </w:p>
    <w:p w:rsidR="00000000" w:rsidRDefault="00797344">
      <w:r>
        <w:rPr>
          <w:sz w:val="24"/>
          <w:szCs w:val="24"/>
        </w:rPr>
        <w:t>(allkirjastatud digitaalselt)</w:t>
      </w:r>
    </w:p>
    <w:p w:rsidR="00000000" w:rsidRDefault="00797344">
      <w:r>
        <w:rPr>
          <w:sz w:val="24"/>
          <w:szCs w:val="24"/>
        </w:rPr>
        <w:t>Priit Tampere</w:t>
      </w:r>
    </w:p>
    <w:p w:rsidR="00000000" w:rsidRDefault="00797344">
      <w:r>
        <w:rPr>
          <w:sz w:val="24"/>
          <w:szCs w:val="24"/>
        </w:rPr>
        <w:t>juhatuse esimees</w:t>
      </w:r>
    </w:p>
    <w:p w:rsidR="00797344" w:rsidRDefault="00797344"/>
    <w:sectPr w:rsidR="0079734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269" w:right="851" w:bottom="680" w:left="1701" w:header="0" w:footer="363" w:gutter="0"/>
      <w:cols w:space="708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7344" w:rsidRDefault="00797344">
      <w:r>
        <w:separator/>
      </w:r>
    </w:p>
  </w:endnote>
  <w:endnote w:type="continuationSeparator" w:id="0">
    <w:p w:rsidR="00797344" w:rsidRDefault="00797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Droid Sans Fallback">
    <w:charset w:val="01"/>
    <w:family w:val="auto"/>
    <w:pitch w:val="variable"/>
  </w:font>
  <w:font w:name="FreeSans">
    <w:altName w:val="Calibri"/>
    <w:charset w:val="01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797344">
    <w:pPr>
      <w:pStyle w:val="Jalus"/>
      <w:ind w:right="360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 w:rsidR="00D51327">
      <w:rPr>
        <w:noProof/>
      </w:rPr>
      <w:t>2</w:t>
    </w:r>
    <w:r>
      <w:fldChar w:fldCharType="end"/>
    </w:r>
    <w:r w:rsidR="00D51327">
      <w:rPr>
        <w:noProof/>
        <w:lang w:eastAsia="et-EE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6503035</wp:posOffset>
              </wp:positionH>
              <wp:positionV relativeFrom="paragraph">
                <wp:posOffset>9973945</wp:posOffset>
              </wp:positionV>
              <wp:extent cx="240665" cy="20320"/>
              <wp:effectExtent l="0" t="0" r="0" b="0"/>
              <wp:wrapTopAndBottom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0665" cy="20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non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B42C302" id="Rectangle 1" o:spid="_x0000_s1026" style="position:absolute;margin-left:512.05pt;margin-top:785.35pt;width:18.95pt;height:1.6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" strokeweight=".26mm">
              <v:stroke endcap="square"/>
              <w10:wrap type="topAndBottom"/>
            </v:rect>
          </w:pict>
        </mc:Fallback>
      </mc:AlternateContent>
    </w:r>
    <w:r>
      <w:cr/>
    </w:r>
    <w:r>
      <w:fldChar w:fldCharType="begin"/>
    </w:r>
    <w:r>
      <w:instrText xml:space="preserve"> PAGE </w:instrText>
    </w:r>
    <w:r>
      <w:fldChar w:fldCharType="separate"/>
    </w:r>
    <w:r w:rsidR="00D51327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D51327">
    <w:pPr>
      <w:pStyle w:val="Jalus"/>
    </w:pPr>
    <w:r>
      <w:rPr>
        <w:noProof/>
        <w:lang w:eastAsia="et-EE"/>
      </w:rPr>
      <w:drawing>
        <wp:inline distT="0" distB="0" distL="0" distR="0">
          <wp:extent cx="5937250" cy="698500"/>
          <wp:effectExtent l="0" t="0" r="0" b="0"/>
          <wp:docPr id="2" name="Pil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9" t="-85" r="-9" b="-85"/>
                  <a:stretch>
                    <a:fillRect/>
                  </a:stretch>
                </pic:blipFill>
                <pic:spPr bwMode="auto">
                  <a:xfrm>
                    <a:off x="0" y="0"/>
                    <a:ext cx="5937250" cy="6985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7344" w:rsidRDefault="00797344">
      <w:r>
        <w:separator/>
      </w:r>
    </w:p>
  </w:footnote>
  <w:footnote w:type="continuationSeparator" w:id="0">
    <w:p w:rsidR="00797344" w:rsidRDefault="007973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797344">
    <w:pPr>
      <w:pStyle w:val="Pis"/>
    </w:pPr>
  </w:p>
  <w:p w:rsidR="00000000" w:rsidRDefault="00797344">
    <w:pPr>
      <w:pStyle w:val="Pis"/>
    </w:pPr>
    <w:r>
      <w:tab/>
    </w:r>
  </w:p>
  <w:p w:rsidR="00000000" w:rsidRDefault="00797344">
    <w:pPr>
      <w:pStyle w:val="Pis"/>
      <w:jc w:val="right"/>
    </w:pPr>
  </w:p>
  <w:p w:rsidR="00000000" w:rsidRDefault="00797344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797344">
    <w:pPr>
      <w:pStyle w:val="Pis"/>
      <w:jc w:val="right"/>
    </w:pPr>
  </w:p>
  <w:p w:rsidR="00000000" w:rsidRDefault="00797344">
    <w:pPr>
      <w:pStyle w:val="Pis"/>
      <w:tabs>
        <w:tab w:val="clear" w:pos="4153"/>
        <w:tab w:val="clear" w:pos="8306"/>
      </w:tabs>
    </w:pPr>
  </w:p>
  <w:p w:rsidR="00000000" w:rsidRDefault="00797344">
    <w:pPr>
      <w:pStyle w:val="Pis"/>
      <w:tabs>
        <w:tab w:val="clear" w:pos="4153"/>
        <w:tab w:val="clear" w:pos="8306"/>
      </w:tabs>
    </w:pPr>
  </w:p>
  <w:p w:rsidR="00000000" w:rsidRDefault="00D51327">
    <w:pPr>
      <w:pStyle w:val="Pis"/>
      <w:tabs>
        <w:tab w:val="clear" w:pos="4153"/>
        <w:tab w:val="clear" w:pos="8306"/>
      </w:tabs>
      <w:ind w:left="720" w:hanging="720"/>
      <w:jc w:val="right"/>
    </w:pPr>
    <w:r>
      <w:rPr>
        <w:noProof/>
        <w:lang w:eastAsia="et-EE"/>
      </w:rPr>
      <w:drawing>
        <wp:inline distT="0" distB="0" distL="0" distR="0">
          <wp:extent cx="5937250" cy="692150"/>
          <wp:effectExtent l="0" t="0" r="0" b="0"/>
          <wp:docPr id="1" name="Pil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9" t="-85" r="-9" b="-85"/>
                  <a:stretch>
                    <a:fillRect/>
                  </a:stretch>
                </pic:blipFill>
                <pic:spPr bwMode="auto">
                  <a:xfrm>
                    <a:off x="0" y="0"/>
                    <a:ext cx="5937250" cy="6921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allaa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327"/>
    <w:rsid w:val="00797344"/>
    <w:rsid w:val="00D5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94AC121C-FD7E-43A4-80D1-489CC83E6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pPr>
      <w:suppressAutoHyphens/>
    </w:pPr>
    <w:rPr>
      <w:kern w:val="2"/>
      <w:lang w:eastAsia="zh-CN"/>
    </w:rPr>
  </w:style>
  <w:style w:type="paragraph" w:styleId="Pealkiri1">
    <w:name w:val="heading 1"/>
    <w:basedOn w:val="Normaallaad"/>
    <w:next w:val="Normaallaad"/>
    <w:qFormat/>
    <w:pPr>
      <w:keepNext/>
      <w:numPr>
        <w:numId w:val="1"/>
      </w:numPr>
      <w:jc w:val="both"/>
      <w:outlineLvl w:val="0"/>
    </w:pPr>
    <w:rPr>
      <w:b/>
      <w:bCs/>
      <w:sz w:val="24"/>
      <w:szCs w:val="24"/>
      <w:lang w:val="en-GB"/>
    </w:rPr>
  </w:style>
  <w:style w:type="paragraph" w:styleId="Pealkiri2">
    <w:name w:val="heading 2"/>
    <w:basedOn w:val="Normaallaad"/>
    <w:next w:val="Normaallaad"/>
    <w:qFormat/>
    <w:pPr>
      <w:keepNext/>
      <w:numPr>
        <w:ilvl w:val="1"/>
        <w:numId w:val="1"/>
      </w:numPr>
      <w:outlineLvl w:val="1"/>
    </w:pPr>
    <w:rPr>
      <w:sz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efaultParagraphFont">
    <w:name w:val="Default Paragraph Font"/>
  </w:style>
  <w:style w:type="character" w:customStyle="1" w:styleId="WW-DefaultParagraphFont">
    <w:name w:val="WW-Default Paragraph Font"/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-DefaultParagraphFont1">
    <w:name w:val="WW-Default Paragraph Font1"/>
  </w:style>
  <w:style w:type="character" w:styleId="Lehekljenumber">
    <w:name w:val="page number"/>
    <w:basedOn w:val="WW-DefaultParagraphFont1"/>
  </w:style>
  <w:style w:type="character" w:styleId="Hperlink">
    <w:name w:val="Hyperlink"/>
    <w:rPr>
      <w:color w:val="0000FF"/>
      <w:u w:val="single"/>
    </w:rPr>
  </w:style>
  <w:style w:type="character" w:styleId="Tugev">
    <w:name w:val="Strong"/>
    <w:qFormat/>
    <w:rPr>
      <w:b/>
      <w:bCs/>
    </w:rPr>
  </w:style>
  <w:style w:type="character" w:customStyle="1" w:styleId="UnresolvedMention">
    <w:name w:val="Unresolved Mention"/>
    <w:rPr>
      <w:color w:val="605E5C"/>
      <w:shd w:val="clear" w:color="auto" w:fill="E1DFDD"/>
    </w:rPr>
  </w:style>
  <w:style w:type="paragraph" w:customStyle="1" w:styleId="Pealkiri10">
    <w:name w:val="Pealkiri1"/>
    <w:basedOn w:val="Normaallaad"/>
    <w:next w:val="Kehatekst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Kehatekst">
    <w:name w:val="Body Text"/>
    <w:basedOn w:val="Normaallaad"/>
    <w:pPr>
      <w:jc w:val="both"/>
    </w:pPr>
    <w:rPr>
      <w:sz w:val="24"/>
      <w:szCs w:val="24"/>
      <w:lang w:val="en-GB"/>
    </w:rPr>
  </w:style>
  <w:style w:type="paragraph" w:styleId="Loend">
    <w:name w:val="List"/>
    <w:basedOn w:val="Kehatekst"/>
    <w:rPr>
      <w:rFonts w:cs="Arial"/>
    </w:rPr>
  </w:style>
  <w:style w:type="paragraph" w:styleId="Pealdis">
    <w:name w:val="caption"/>
    <w:basedOn w:val="Normaallaad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gister">
    <w:name w:val="Register"/>
    <w:basedOn w:val="Normaallaad"/>
    <w:pPr>
      <w:suppressLineNumbers/>
    </w:pPr>
    <w:rPr>
      <w:rFonts w:cs="Arial"/>
    </w:rPr>
  </w:style>
  <w:style w:type="paragraph" w:customStyle="1" w:styleId="Heading">
    <w:name w:val="Heading"/>
    <w:basedOn w:val="Normaallaad"/>
    <w:next w:val="Kehatekst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aption">
    <w:name w:val="Caption"/>
    <w:basedOn w:val="Normaallaa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allaad"/>
    <w:pPr>
      <w:suppressLineNumbers/>
    </w:pPr>
    <w:rPr>
      <w:rFonts w:cs="Arial"/>
    </w:rPr>
  </w:style>
  <w:style w:type="paragraph" w:customStyle="1" w:styleId="Pisjajalus">
    <w:name w:val="Päis ja jalus"/>
    <w:basedOn w:val="Normaallaad"/>
    <w:pPr>
      <w:suppressLineNumbers/>
      <w:tabs>
        <w:tab w:val="center" w:pos="4819"/>
        <w:tab w:val="right" w:pos="9638"/>
      </w:tabs>
    </w:pPr>
  </w:style>
  <w:style w:type="paragraph" w:styleId="Pis">
    <w:name w:val="header"/>
    <w:basedOn w:val="Normaallaad"/>
    <w:pPr>
      <w:tabs>
        <w:tab w:val="center" w:pos="4153"/>
        <w:tab w:val="right" w:pos="8306"/>
      </w:tabs>
    </w:pPr>
  </w:style>
  <w:style w:type="paragraph" w:styleId="Jalus">
    <w:name w:val="footer"/>
    <w:basedOn w:val="Normaallaad"/>
    <w:pPr>
      <w:tabs>
        <w:tab w:val="center" w:pos="4153"/>
        <w:tab w:val="right" w:pos="8306"/>
      </w:tabs>
    </w:pPr>
  </w:style>
  <w:style w:type="paragraph" w:customStyle="1" w:styleId="BalloonText1">
    <w:name w:val="Balloon Text1"/>
    <w:basedOn w:val="Normaallaad"/>
    <w:rPr>
      <w:rFonts w:ascii="Tahoma" w:hAnsi="Tahoma" w:cs="Tahoma"/>
      <w:sz w:val="16"/>
      <w:szCs w:val="16"/>
    </w:rPr>
  </w:style>
  <w:style w:type="paragraph" w:customStyle="1" w:styleId="BodyText2">
    <w:name w:val="Body Text 2"/>
    <w:basedOn w:val="Normaallaad"/>
    <w:rPr>
      <w:sz w:val="24"/>
    </w:rPr>
  </w:style>
  <w:style w:type="paragraph" w:styleId="Taandegakehatekst">
    <w:name w:val="Body Text Indent"/>
    <w:basedOn w:val="Normaallaad"/>
    <w:pPr>
      <w:ind w:left="426" w:firstLine="294"/>
    </w:pPr>
    <w:rPr>
      <w:sz w:val="24"/>
    </w:rPr>
  </w:style>
  <w:style w:type="paragraph" w:customStyle="1" w:styleId="BalloonText">
    <w:name w:val="Balloon Text"/>
    <w:basedOn w:val="Normaallaad"/>
    <w:rPr>
      <w:rFonts w:ascii="Tahoma" w:hAnsi="Tahoma" w:cs="Tahoma"/>
      <w:sz w:val="16"/>
      <w:szCs w:val="16"/>
    </w:rPr>
  </w:style>
  <w:style w:type="paragraph" w:customStyle="1" w:styleId="BodyTextIndent2">
    <w:name w:val="Body Text Indent 2"/>
    <w:basedOn w:val="Normaallaad"/>
    <w:pPr>
      <w:spacing w:after="120" w:line="480" w:lineRule="auto"/>
      <w:ind w:left="283"/>
    </w:pPr>
  </w:style>
  <w:style w:type="paragraph" w:customStyle="1" w:styleId="WW-Default">
    <w:name w:val="WW-Default"/>
    <w:pPr>
      <w:suppressAutoHyphens/>
      <w:autoSpaceDE w:val="0"/>
    </w:pPr>
    <w:rPr>
      <w:color w:val="000000"/>
      <w:kern w:val="2"/>
      <w:sz w:val="24"/>
      <w:szCs w:val="24"/>
      <w:lang w:val="en-US" w:eastAsia="zh-CN"/>
    </w:rPr>
  </w:style>
  <w:style w:type="paragraph" w:customStyle="1" w:styleId="Tekst">
    <w:name w:val="Tekst"/>
    <w:pPr>
      <w:suppressAutoHyphens/>
      <w:jc w:val="both"/>
    </w:pPr>
    <w:rPr>
      <w:rFonts w:ascii="Arial" w:eastAsia="SimSun" w:hAnsi="Arial" w:cs="Arial"/>
      <w:kern w:val="2"/>
      <w:sz w:val="22"/>
      <w:szCs w:val="22"/>
      <w:lang w:eastAsia="zh-CN" w:bidi="hi-IN"/>
    </w:rPr>
  </w:style>
  <w:style w:type="paragraph" w:customStyle="1" w:styleId="ListParagraph">
    <w:name w:val="List Paragraph"/>
    <w:basedOn w:val="Normaallaad"/>
    <w:pPr>
      <w:spacing w:after="200"/>
      <w:ind w:left="720"/>
    </w:pPr>
    <w:rPr>
      <w:rFonts w:ascii="Calibri" w:hAnsi="Calibri" w:cs="Calibri"/>
      <w:sz w:val="22"/>
      <w:szCs w:val="22"/>
    </w:rPr>
  </w:style>
  <w:style w:type="paragraph" w:customStyle="1" w:styleId="Framecontents">
    <w:name w:val="Frame contents"/>
    <w:basedOn w:val="Kehatekst"/>
  </w:style>
  <w:style w:type="paragraph" w:customStyle="1" w:styleId="Standard">
    <w:name w:val="Standard"/>
    <w:pPr>
      <w:widowControl w:val="0"/>
      <w:suppressAutoHyphens/>
      <w:textAlignment w:val="baseline"/>
    </w:pPr>
    <w:rPr>
      <w:rFonts w:ascii="Liberation Serif" w:eastAsia="Droid Sans Fallback" w:hAnsi="Liberation Serif" w:cs="FreeSans"/>
      <w:kern w:val="2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viljandi@viljandi.e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kasutaja\LOCALS~1\Temp\sa-vmh-blx.dot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sa-vmh-blx.dot</Template>
  <TotalTime>0</TotalTime>
  <Pages>2</Pages>
  <Words>409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Sdfdfdsfds</vt:lpstr>
    </vt:vector>
  </TitlesOfParts>
  <Company>HP Inc.</Company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Sdfdfdsfds</dc:title>
  <dc:subject/>
  <dc:creator>kasutaja</dc:creator>
  <cp:keywords/>
  <cp:lastModifiedBy>Helena Tiivel</cp:lastModifiedBy>
  <cp:revision>2</cp:revision>
  <cp:lastPrinted>2020-05-25T11:15:00Z</cp:lastPrinted>
  <dcterms:created xsi:type="dcterms:W3CDTF">2021-05-06T12:27:00Z</dcterms:created>
  <dcterms:modified xsi:type="dcterms:W3CDTF">2021-05-06T12:27:00Z</dcterms:modified>
</cp:coreProperties>
</file>