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AF272F" w:rsidRDefault="000C3CB6">
      <w:pPr>
        <w:jc w:val="center"/>
        <w:rPr>
          <w:b/>
          <w:sz w:val="28"/>
          <w:szCs w:val="28"/>
        </w:rPr>
      </w:pPr>
      <w:r>
        <w:rPr>
          <w:b/>
          <w:sz w:val="28"/>
          <w:szCs w:val="28"/>
        </w:rPr>
        <w:t>KOOSTÖÖLEPING</w:t>
      </w:r>
    </w:p>
    <w:p w14:paraId="00000002" w14:textId="77777777" w:rsidR="00AF272F" w:rsidRDefault="00AF272F">
      <w:pPr>
        <w:jc w:val="center"/>
        <w:rPr>
          <w:b/>
        </w:rPr>
      </w:pPr>
    </w:p>
    <w:p w14:paraId="00000003" w14:textId="77777777" w:rsidR="00AF272F" w:rsidRDefault="000C3CB6">
      <w:pPr>
        <w:jc w:val="both"/>
      </w:pPr>
      <w:r>
        <w:t>Arvestades asjaolu, et</w:t>
      </w:r>
    </w:p>
    <w:p w14:paraId="00000004" w14:textId="77777777" w:rsidR="00AF272F" w:rsidRDefault="000C3CB6">
      <w:pPr>
        <w:numPr>
          <w:ilvl w:val="0"/>
          <w:numId w:val="5"/>
        </w:numPr>
        <w:pBdr>
          <w:top w:val="nil"/>
          <w:left w:val="nil"/>
          <w:bottom w:val="nil"/>
          <w:right w:val="nil"/>
          <w:between w:val="nil"/>
        </w:pBdr>
        <w:spacing w:after="0"/>
        <w:jc w:val="both"/>
      </w:pPr>
      <w:r>
        <w:rPr>
          <w:color w:val="000000"/>
        </w:rPr>
        <w:t>29.aprillil 2019.a. sõlmisid Tartu linn ja 19 Lõuna-Eesti omavalitsust lepingu koostöö tegemiseks Tartu linna kandideerimisel 2024.a. Euroopa kultuuripealinnaks ning kultuuripealinna programmi elluviimiseks tiitli võitmisel;</w:t>
      </w:r>
    </w:p>
    <w:p w14:paraId="00000005" w14:textId="77777777" w:rsidR="00AF272F" w:rsidRDefault="000C3CB6">
      <w:pPr>
        <w:numPr>
          <w:ilvl w:val="0"/>
          <w:numId w:val="5"/>
        </w:numPr>
        <w:pBdr>
          <w:top w:val="nil"/>
          <w:left w:val="nil"/>
          <w:bottom w:val="nil"/>
          <w:right w:val="nil"/>
          <w:between w:val="nil"/>
        </w:pBdr>
        <w:spacing w:after="0"/>
        <w:jc w:val="both"/>
      </w:pPr>
      <w:r>
        <w:rPr>
          <w:color w:val="000000"/>
        </w:rPr>
        <w:t>ülalnimetatud koostöölepinguga lubas Tartu linn kaasata omavalitsusi programmi elluviimisse;</w:t>
      </w:r>
    </w:p>
    <w:p w14:paraId="00000006" w14:textId="77777777" w:rsidR="00AF272F" w:rsidRDefault="000C3CB6">
      <w:pPr>
        <w:numPr>
          <w:ilvl w:val="0"/>
          <w:numId w:val="5"/>
        </w:numPr>
        <w:pBdr>
          <w:top w:val="nil"/>
          <w:left w:val="nil"/>
          <w:bottom w:val="nil"/>
          <w:right w:val="nil"/>
          <w:between w:val="nil"/>
        </w:pBdr>
        <w:spacing w:after="0"/>
        <w:jc w:val="both"/>
      </w:pPr>
      <w:r>
        <w:rPr>
          <w:color w:val="000000"/>
        </w:rPr>
        <w:t xml:space="preserve">Tartu linn on kultuuripealinna tegevuste ettevalmistamiseks, kultuuriprogrammi </w:t>
      </w:r>
      <w:r>
        <w:t>väljatöötamiseks</w:t>
      </w:r>
      <w:r>
        <w:rPr>
          <w:color w:val="000000"/>
        </w:rPr>
        <w:t xml:space="preserve"> ja elluviimise korraldamiseks asutanud Sihtasutuse Tartu 2024 ning edaspidi tegutseb Tartu linn kultuuripealinna ettevalmistamisel läbi Sihtasutuse Tartu 2024;</w:t>
      </w:r>
    </w:p>
    <w:p w14:paraId="00000007" w14:textId="77777777" w:rsidR="00AF272F" w:rsidRDefault="000C3CB6">
      <w:pPr>
        <w:numPr>
          <w:ilvl w:val="0"/>
          <w:numId w:val="5"/>
        </w:numPr>
        <w:pBdr>
          <w:top w:val="nil"/>
          <w:left w:val="nil"/>
          <w:bottom w:val="nil"/>
          <w:right w:val="nil"/>
          <w:between w:val="nil"/>
        </w:pBdr>
        <w:jc w:val="both"/>
      </w:pPr>
      <w:r>
        <w:rPr>
          <w:color w:val="000000"/>
        </w:rPr>
        <w:t>hetkeseisuga on vajadus täpsustada omavalitsuste panust kultuuripealinna programmi ettevalmistamises ja rahastamises;</w:t>
      </w:r>
    </w:p>
    <w:p w14:paraId="00000008" w14:textId="77777777" w:rsidR="00AF272F" w:rsidRDefault="000C3CB6">
      <w:pPr>
        <w:jc w:val="both"/>
      </w:pPr>
      <w:r>
        <w:t xml:space="preserve">leppisid Sihtasutus Tartu 2024 (edaspidi SA) ja Antsla vald, Elva vald, Kambja vald, Kanepi vald, </w:t>
      </w:r>
      <w:proofErr w:type="spellStart"/>
      <w:r>
        <w:t>Kastre</w:t>
      </w:r>
      <w:proofErr w:type="spellEnd"/>
      <w:r>
        <w:t xml:space="preserve"> vald, Luunja vald, Nõo vald, Otepää vald, Peipsiääre vald, Põlva vald, Räpina vald, Rõuge vald, Setomaa vald, Tartu vald, Tõrva vald, Valga vald, Viljandi linn, Võru linn ja Võru vald (edaspidi Omavalitsus või koos Omavalitsused) kokku alljärgnevas</w:t>
      </w:r>
    </w:p>
    <w:p w14:paraId="00000009" w14:textId="77777777" w:rsidR="00AF272F" w:rsidRDefault="00AF272F">
      <w:pPr>
        <w:jc w:val="both"/>
      </w:pPr>
    </w:p>
    <w:p w14:paraId="0000000A" w14:textId="77777777" w:rsidR="00AF272F" w:rsidRDefault="000C3CB6">
      <w:pPr>
        <w:jc w:val="center"/>
        <w:rPr>
          <w:b/>
        </w:rPr>
      </w:pPr>
      <w:r>
        <w:rPr>
          <w:b/>
        </w:rPr>
        <w:t>Kultuuripealinna tegevuste rahastamine koos omavalitsustega</w:t>
      </w:r>
    </w:p>
    <w:p w14:paraId="0000000B" w14:textId="77777777" w:rsidR="00AF272F" w:rsidRDefault="000C3CB6">
      <w:pPr>
        <w:numPr>
          <w:ilvl w:val="0"/>
          <w:numId w:val="6"/>
        </w:numPr>
        <w:pBdr>
          <w:top w:val="nil"/>
          <w:left w:val="nil"/>
          <w:bottom w:val="nil"/>
          <w:right w:val="nil"/>
          <w:between w:val="nil"/>
        </w:pBdr>
        <w:spacing w:after="0"/>
        <w:jc w:val="both"/>
      </w:pPr>
      <w:r>
        <w:rPr>
          <w:color w:val="000000"/>
        </w:rPr>
        <w:t xml:space="preserve">Tartu linn on teinud endast seni oleneva ning pingutab edaspidi selle nimel, et Tartu linna rahaline panus kultuuripealinna tegevustesse oleks aastatel 2020-2025 10 000 000 eurot. Hetkeseisuga on: </w:t>
      </w:r>
    </w:p>
    <w:p w14:paraId="0000000C" w14:textId="77777777" w:rsidR="00AF272F" w:rsidRDefault="000C3CB6">
      <w:pPr>
        <w:numPr>
          <w:ilvl w:val="1"/>
          <w:numId w:val="6"/>
        </w:numPr>
        <w:pBdr>
          <w:top w:val="nil"/>
          <w:left w:val="nil"/>
          <w:bottom w:val="nil"/>
          <w:right w:val="nil"/>
          <w:between w:val="nil"/>
        </w:pBdr>
        <w:spacing w:after="0"/>
        <w:jc w:val="both"/>
      </w:pPr>
      <w:r>
        <w:rPr>
          <w:color w:val="000000"/>
        </w:rPr>
        <w:t>2020. aasta Tartu linna eelarves kultuuripealinna tegevusteks 300 000 eurot;</w:t>
      </w:r>
    </w:p>
    <w:p w14:paraId="0000000D" w14:textId="77777777" w:rsidR="00AF272F" w:rsidRDefault="000C3CB6">
      <w:pPr>
        <w:spacing w:after="0"/>
        <w:ind w:left="720"/>
        <w:jc w:val="both"/>
      </w:pPr>
      <w:r>
        <w:t>1.2. aastateks 2021-2023 Tartu linna eelarvestrateegias kultuuripealinna tegevusteks kavandatud summad 860 000 eurost 1 500 000 euroni.</w:t>
      </w:r>
    </w:p>
    <w:p w14:paraId="0000000E" w14:textId="77777777" w:rsidR="00AF272F" w:rsidRDefault="00AF272F">
      <w:pPr>
        <w:pBdr>
          <w:top w:val="nil"/>
          <w:left w:val="nil"/>
          <w:bottom w:val="nil"/>
          <w:right w:val="nil"/>
          <w:between w:val="nil"/>
        </w:pBdr>
        <w:spacing w:after="0"/>
        <w:ind w:left="1110"/>
        <w:jc w:val="both"/>
        <w:rPr>
          <w:color w:val="000000"/>
        </w:rPr>
      </w:pPr>
    </w:p>
    <w:p w14:paraId="0000000F" w14:textId="77777777" w:rsidR="00AF272F" w:rsidRDefault="000C3CB6">
      <w:pPr>
        <w:numPr>
          <w:ilvl w:val="0"/>
          <w:numId w:val="2"/>
        </w:numPr>
        <w:pBdr>
          <w:top w:val="nil"/>
          <w:left w:val="nil"/>
          <w:bottom w:val="nil"/>
          <w:right w:val="nil"/>
          <w:between w:val="nil"/>
        </w:pBdr>
        <w:spacing w:after="0"/>
        <w:jc w:val="both"/>
      </w:pPr>
      <w:r>
        <w:rPr>
          <w:color w:val="000000"/>
        </w:rPr>
        <w:t xml:space="preserve">Omavalitsused võtavad eesmärgiks teha </w:t>
      </w:r>
      <w:r>
        <w:t>kõik endast oleneva</w:t>
      </w:r>
      <w:r>
        <w:rPr>
          <w:color w:val="000000"/>
        </w:rPr>
        <w:t>, et omavalitsuste panus kultuuripealinna tegevustesse oleks aastatel 2021-2025 kokku 1 500 000 eurot. Nimetatud eesmärgi saavutamiseks võtab iga omavalitsus eesmärgiks panustada kultuuripealinna tegevustesse järgmiselt:</w:t>
      </w:r>
    </w:p>
    <w:p w14:paraId="00000010" w14:textId="77777777" w:rsidR="00AF272F" w:rsidRDefault="000C3CB6">
      <w:pPr>
        <w:numPr>
          <w:ilvl w:val="1"/>
          <w:numId w:val="2"/>
        </w:numPr>
        <w:pBdr>
          <w:top w:val="nil"/>
          <w:left w:val="nil"/>
          <w:bottom w:val="nil"/>
          <w:right w:val="nil"/>
          <w:between w:val="nil"/>
        </w:pBdr>
        <w:spacing w:after="0"/>
        <w:jc w:val="both"/>
      </w:pPr>
      <w:r>
        <w:rPr>
          <w:color w:val="000000"/>
        </w:rPr>
        <w:t>aastatel 2021 ja 2022 1  euro elaniku</w:t>
      </w:r>
      <w:r>
        <w:rPr>
          <w:color w:val="000000"/>
          <w:vertAlign w:val="superscript"/>
        </w:rPr>
        <w:footnoteReference w:id="1"/>
      </w:r>
      <w:r>
        <w:rPr>
          <w:color w:val="000000"/>
        </w:rPr>
        <w:t xml:space="preserve"> kohta, mille sihtotstarve on kirjeldatud punktis 5.1;</w:t>
      </w:r>
    </w:p>
    <w:p w14:paraId="00000011" w14:textId="77777777" w:rsidR="00AF272F" w:rsidRDefault="000C3CB6">
      <w:pPr>
        <w:numPr>
          <w:ilvl w:val="1"/>
          <w:numId w:val="2"/>
        </w:numPr>
        <w:pBdr>
          <w:top w:val="nil"/>
          <w:left w:val="nil"/>
          <w:bottom w:val="nil"/>
          <w:right w:val="nil"/>
          <w:between w:val="nil"/>
        </w:pBdr>
        <w:spacing w:after="0"/>
        <w:jc w:val="both"/>
      </w:pPr>
      <w:r>
        <w:rPr>
          <w:color w:val="000000"/>
        </w:rPr>
        <w:t>aastatel 2023 ja 2024 2 eurot elaniku kohta, mille sihtotstarve on kirjeldatud punktis 5.2;</w:t>
      </w:r>
    </w:p>
    <w:p w14:paraId="00000012" w14:textId="77777777" w:rsidR="00AF272F" w:rsidRDefault="000C3CB6">
      <w:pPr>
        <w:numPr>
          <w:ilvl w:val="1"/>
          <w:numId w:val="2"/>
        </w:numPr>
        <w:pBdr>
          <w:top w:val="nil"/>
          <w:left w:val="nil"/>
          <w:bottom w:val="nil"/>
          <w:right w:val="nil"/>
          <w:between w:val="nil"/>
        </w:pBdr>
        <w:spacing w:after="0"/>
        <w:jc w:val="both"/>
      </w:pPr>
      <w:r>
        <w:rPr>
          <w:color w:val="000000"/>
        </w:rPr>
        <w:t xml:space="preserve">aastal 2024 täiendavalt 2,2 eurot elaniku kohta vastava omavalitsuse territooriumil toimuva </w:t>
      </w:r>
      <w:sdt>
        <w:sdtPr>
          <w:tag w:val="goog_rdk_0"/>
          <w:id w:val="-2081902137"/>
        </w:sdtPr>
        <w:sdtEndPr/>
        <w:sdtContent/>
      </w:sdt>
      <w:r>
        <w:rPr>
          <w:color w:val="000000"/>
        </w:rPr>
        <w:t>Eu</w:t>
      </w:r>
      <w:r>
        <w:t xml:space="preserve">roopa </w:t>
      </w:r>
      <w:r>
        <w:rPr>
          <w:color w:val="000000"/>
        </w:rPr>
        <w:t>kultuuripealinn Tartu 2024 programmi sündmuste toetuseks tingimusel, et hiljemalt 2022.a. lõpuks on iga omavalitsusega eraldi kokku lepitud nimetatud sündmuste nimekiri ja maht. Summale saab lisanduda kahepoolse kokkuleppega täiendav omavalitsuse poolne individuaalne panus konkreetse tegevuse või sündmuse realiseerimiseks;</w:t>
      </w:r>
    </w:p>
    <w:p w14:paraId="00000013" w14:textId="77777777" w:rsidR="00AF272F" w:rsidRDefault="000C3CB6">
      <w:pPr>
        <w:numPr>
          <w:ilvl w:val="1"/>
          <w:numId w:val="2"/>
        </w:numPr>
        <w:pBdr>
          <w:top w:val="nil"/>
          <w:left w:val="nil"/>
          <w:bottom w:val="nil"/>
          <w:right w:val="nil"/>
          <w:between w:val="nil"/>
        </w:pBdr>
        <w:spacing w:after="0"/>
        <w:jc w:val="both"/>
      </w:pPr>
      <w:r>
        <w:rPr>
          <w:color w:val="000000"/>
        </w:rPr>
        <w:t>aastal ja 2025 1 euro elaniku kohta, mille sihtotstarve on kirjeldatud punktis 5.4.</w:t>
      </w:r>
    </w:p>
    <w:p w14:paraId="00000014" w14:textId="77777777" w:rsidR="00AF272F" w:rsidRDefault="00AF272F">
      <w:pPr>
        <w:pBdr>
          <w:top w:val="nil"/>
          <w:left w:val="nil"/>
          <w:bottom w:val="nil"/>
          <w:right w:val="nil"/>
          <w:between w:val="nil"/>
        </w:pBdr>
        <w:spacing w:after="0"/>
        <w:ind w:left="720"/>
        <w:jc w:val="both"/>
        <w:rPr>
          <w:color w:val="000000"/>
        </w:rPr>
      </w:pPr>
    </w:p>
    <w:p w14:paraId="00000015" w14:textId="77777777" w:rsidR="00AF272F" w:rsidRDefault="000C3CB6">
      <w:pPr>
        <w:numPr>
          <w:ilvl w:val="0"/>
          <w:numId w:val="2"/>
        </w:numPr>
        <w:pBdr>
          <w:top w:val="nil"/>
          <w:left w:val="nil"/>
          <w:bottom w:val="nil"/>
          <w:right w:val="nil"/>
          <w:between w:val="nil"/>
        </w:pBdr>
        <w:spacing w:after="0"/>
        <w:jc w:val="both"/>
      </w:pPr>
      <w:r>
        <w:rPr>
          <w:color w:val="000000"/>
        </w:rPr>
        <w:t xml:space="preserve">Omavalitsused sõnastavad oma volikogude otsused selliselt, et punktis 2 nimetatud mahus antakse vastaval eelarveaastal toetust </w:t>
      </w:r>
      <w:proofErr w:type="spellStart"/>
      <w:r>
        <w:rPr>
          <w:color w:val="000000"/>
        </w:rPr>
        <w:t>SA’le</w:t>
      </w:r>
      <w:proofErr w:type="spellEnd"/>
      <w:r>
        <w:rPr>
          <w:color w:val="000000"/>
        </w:rPr>
        <w:t xml:space="preserve"> ning volitatakse </w:t>
      </w:r>
      <w:proofErr w:type="spellStart"/>
      <w:r>
        <w:rPr>
          <w:color w:val="000000"/>
        </w:rPr>
        <w:t>SA’d</w:t>
      </w:r>
      <w:proofErr w:type="spellEnd"/>
      <w:r>
        <w:rPr>
          <w:color w:val="000000"/>
        </w:rPr>
        <w:t xml:space="preserve"> kasutama toetusena antud </w:t>
      </w:r>
      <w:r>
        <w:rPr>
          <w:color w:val="000000"/>
        </w:rPr>
        <w:lastRenderedPageBreak/>
        <w:t>vahendeid vastavalt käesolevale kokkuleppele või hiljem punkti 2.3 kohaselt täpsustatud kokkuleppele.</w:t>
      </w:r>
    </w:p>
    <w:p w14:paraId="00000016" w14:textId="77777777" w:rsidR="00AF272F" w:rsidRDefault="00AF272F">
      <w:pPr>
        <w:pBdr>
          <w:top w:val="nil"/>
          <w:left w:val="nil"/>
          <w:bottom w:val="nil"/>
          <w:right w:val="nil"/>
          <w:between w:val="nil"/>
        </w:pBdr>
        <w:spacing w:after="0"/>
        <w:ind w:left="720"/>
        <w:jc w:val="both"/>
        <w:rPr>
          <w:color w:val="000000"/>
        </w:rPr>
      </w:pPr>
    </w:p>
    <w:p w14:paraId="00000017" w14:textId="77777777" w:rsidR="00AF272F" w:rsidRDefault="000C3CB6">
      <w:pPr>
        <w:numPr>
          <w:ilvl w:val="0"/>
          <w:numId w:val="4"/>
        </w:numPr>
        <w:pBdr>
          <w:top w:val="nil"/>
          <w:left w:val="nil"/>
          <w:bottom w:val="nil"/>
          <w:right w:val="nil"/>
          <w:between w:val="nil"/>
        </w:pBdr>
        <w:spacing w:after="0"/>
        <w:jc w:val="both"/>
      </w:pPr>
      <w:r>
        <w:rPr>
          <w:color w:val="000000"/>
        </w:rPr>
        <w:t xml:space="preserve">Käesolevale koostöölepingule lisandub igal aastal järgneva aasta tegevuskava, milles SA ja vastav omavalitsus eraldi lepivad kokku oma järgneva aasta tegevuskava. </w:t>
      </w:r>
    </w:p>
    <w:p w14:paraId="00000018" w14:textId="77777777" w:rsidR="00AF272F" w:rsidRDefault="00AF272F">
      <w:pPr>
        <w:pBdr>
          <w:top w:val="nil"/>
          <w:left w:val="nil"/>
          <w:bottom w:val="nil"/>
          <w:right w:val="nil"/>
          <w:between w:val="nil"/>
        </w:pBdr>
        <w:spacing w:after="0"/>
        <w:ind w:left="720"/>
        <w:rPr>
          <w:color w:val="000000"/>
        </w:rPr>
      </w:pPr>
    </w:p>
    <w:p w14:paraId="00000019" w14:textId="77777777" w:rsidR="00AF272F" w:rsidRDefault="000C3CB6">
      <w:pPr>
        <w:numPr>
          <w:ilvl w:val="0"/>
          <w:numId w:val="3"/>
        </w:numPr>
        <w:pBdr>
          <w:top w:val="nil"/>
          <w:left w:val="nil"/>
          <w:bottom w:val="nil"/>
          <w:right w:val="nil"/>
          <w:between w:val="nil"/>
        </w:pBdr>
        <w:spacing w:after="0"/>
        <w:jc w:val="both"/>
      </w:pPr>
      <w:r>
        <w:rPr>
          <w:color w:val="000000"/>
        </w:rPr>
        <w:t xml:space="preserve">SA ja omavalitsused kiidavad ühiselt heaks omavalitsuste toetuse </w:t>
      </w:r>
      <w:r>
        <w:t>jaotamise</w:t>
      </w:r>
      <w:r>
        <w:rPr>
          <w:color w:val="000000"/>
        </w:rPr>
        <w:t xml:space="preserve"> järgmiste tegevuste vahel:</w:t>
      </w:r>
    </w:p>
    <w:p w14:paraId="0000001A" w14:textId="77777777" w:rsidR="00AF272F" w:rsidRDefault="000C3CB6">
      <w:pPr>
        <w:numPr>
          <w:ilvl w:val="1"/>
          <w:numId w:val="3"/>
        </w:numPr>
        <w:pBdr>
          <w:top w:val="nil"/>
          <w:left w:val="nil"/>
          <w:bottom w:val="nil"/>
          <w:right w:val="nil"/>
          <w:between w:val="nil"/>
        </w:pBdr>
        <w:spacing w:after="0"/>
        <w:jc w:val="both"/>
      </w:pPr>
      <w:r>
        <w:rPr>
          <w:color w:val="000000"/>
        </w:rPr>
        <w:t xml:space="preserve">aastate 2021-2022 toetus (1 euro elaniku kohta aastas) kasutatakse </w:t>
      </w:r>
    </w:p>
    <w:p w14:paraId="0000001B" w14:textId="77777777" w:rsidR="00AF272F" w:rsidRDefault="000C3CB6">
      <w:pPr>
        <w:numPr>
          <w:ilvl w:val="2"/>
          <w:numId w:val="3"/>
        </w:numPr>
        <w:pBdr>
          <w:top w:val="nil"/>
          <w:left w:val="nil"/>
          <w:bottom w:val="nil"/>
          <w:right w:val="nil"/>
          <w:between w:val="nil"/>
        </w:pBdr>
        <w:spacing w:after="0"/>
        <w:jc w:val="both"/>
      </w:pPr>
      <w:r>
        <w:rPr>
          <w:color w:val="000000"/>
        </w:rPr>
        <w:t>turunduse valdkonnas meediakajastusele, kogukonnast lähtuvale turundusele (35%);</w:t>
      </w:r>
    </w:p>
    <w:p w14:paraId="0000001C" w14:textId="77777777" w:rsidR="00AF272F" w:rsidRDefault="000C3CB6">
      <w:pPr>
        <w:numPr>
          <w:ilvl w:val="2"/>
          <w:numId w:val="3"/>
        </w:numPr>
        <w:pBdr>
          <w:top w:val="nil"/>
          <w:left w:val="nil"/>
          <w:bottom w:val="nil"/>
          <w:right w:val="nil"/>
          <w:between w:val="nil"/>
        </w:pBdr>
        <w:spacing w:after="0"/>
        <w:jc w:val="both"/>
      </w:pPr>
      <w:r>
        <w:rPr>
          <w:color w:val="000000"/>
        </w:rPr>
        <w:t>programmi valdkonnas kultuurikorraldajate ja spetsialistide koolitamiseks ja arendamiseks ning põhiprogrammi kohaliku osa arendamiseks (50%);</w:t>
      </w:r>
    </w:p>
    <w:p w14:paraId="0000001D" w14:textId="77777777" w:rsidR="00AF272F" w:rsidRDefault="000C3CB6">
      <w:pPr>
        <w:numPr>
          <w:ilvl w:val="2"/>
          <w:numId w:val="3"/>
        </w:numPr>
        <w:pBdr>
          <w:top w:val="nil"/>
          <w:left w:val="nil"/>
          <w:bottom w:val="nil"/>
          <w:right w:val="nil"/>
          <w:between w:val="nil"/>
        </w:pBdr>
        <w:spacing w:after="0"/>
        <w:jc w:val="both"/>
      </w:pPr>
      <w:r>
        <w:rPr>
          <w:color w:val="000000"/>
        </w:rPr>
        <w:t>tegevuste koordineerimisest lähtuva personali- ning üldkulude katteks (15%).</w:t>
      </w:r>
    </w:p>
    <w:p w14:paraId="0000001E" w14:textId="77777777" w:rsidR="00AF272F" w:rsidRDefault="000C3CB6">
      <w:pPr>
        <w:numPr>
          <w:ilvl w:val="1"/>
          <w:numId w:val="3"/>
        </w:numPr>
        <w:pBdr>
          <w:top w:val="nil"/>
          <w:left w:val="nil"/>
          <w:bottom w:val="nil"/>
          <w:right w:val="nil"/>
          <w:between w:val="nil"/>
        </w:pBdr>
        <w:spacing w:after="0"/>
        <w:jc w:val="both"/>
      </w:pPr>
      <w:r>
        <w:rPr>
          <w:color w:val="000000"/>
        </w:rPr>
        <w:t>aastate 2023-2024 toetus (2 eurot elaniku kohta aastas) kasutatakse</w:t>
      </w:r>
    </w:p>
    <w:p w14:paraId="0000001F" w14:textId="77777777" w:rsidR="00AF272F" w:rsidRDefault="000C3CB6">
      <w:pPr>
        <w:numPr>
          <w:ilvl w:val="2"/>
          <w:numId w:val="3"/>
        </w:numPr>
        <w:pBdr>
          <w:top w:val="nil"/>
          <w:left w:val="nil"/>
          <w:bottom w:val="nil"/>
          <w:right w:val="nil"/>
          <w:between w:val="nil"/>
        </w:pBdr>
        <w:spacing w:after="0"/>
        <w:jc w:val="both"/>
      </w:pPr>
      <w:r>
        <w:rPr>
          <w:color w:val="000000"/>
        </w:rPr>
        <w:t>turunduse valdkonnas m</w:t>
      </w:r>
      <w:bookmarkStart w:id="0" w:name="_GoBack"/>
      <w:bookmarkEnd w:id="0"/>
      <w:r>
        <w:rPr>
          <w:color w:val="000000"/>
        </w:rPr>
        <w:t>eediakajastusele, kogukonnast lähtuvale turundusele (17,5%);</w:t>
      </w:r>
    </w:p>
    <w:p w14:paraId="00000020" w14:textId="77777777" w:rsidR="00AF272F" w:rsidRDefault="000C3CB6">
      <w:pPr>
        <w:numPr>
          <w:ilvl w:val="2"/>
          <w:numId w:val="3"/>
        </w:numPr>
        <w:pBdr>
          <w:top w:val="nil"/>
          <w:left w:val="nil"/>
          <w:bottom w:val="nil"/>
          <w:right w:val="nil"/>
          <w:between w:val="nil"/>
        </w:pBdr>
        <w:spacing w:after="0"/>
        <w:jc w:val="both"/>
      </w:pPr>
      <w:r>
        <w:rPr>
          <w:color w:val="000000"/>
        </w:rPr>
        <w:t>programmi valdkonnas kultuurikorraldajate ja spetsialistide koolitamiseks ja arendamiseks ning põhiprogrammi kohaliku osa arendamiseks (25%);</w:t>
      </w:r>
    </w:p>
    <w:p w14:paraId="00000021" w14:textId="77777777" w:rsidR="00AF272F" w:rsidRDefault="000C3CB6">
      <w:pPr>
        <w:numPr>
          <w:ilvl w:val="2"/>
          <w:numId w:val="3"/>
        </w:numPr>
        <w:pBdr>
          <w:top w:val="nil"/>
          <w:left w:val="nil"/>
          <w:bottom w:val="nil"/>
          <w:right w:val="nil"/>
          <w:between w:val="nil"/>
        </w:pBdr>
        <w:spacing w:after="0"/>
        <w:jc w:val="both"/>
      </w:pPr>
      <w:r>
        <w:rPr>
          <w:color w:val="000000"/>
        </w:rPr>
        <w:t>tegevuste koordineerimisest lähtuva personali- ning üldkulude katteks (7,5%);</w:t>
      </w:r>
    </w:p>
    <w:p w14:paraId="00000022" w14:textId="77777777" w:rsidR="00AF272F" w:rsidRDefault="000C3CB6">
      <w:pPr>
        <w:numPr>
          <w:ilvl w:val="2"/>
          <w:numId w:val="3"/>
        </w:numPr>
        <w:pBdr>
          <w:top w:val="nil"/>
          <w:left w:val="nil"/>
          <w:bottom w:val="nil"/>
          <w:right w:val="nil"/>
          <w:between w:val="nil"/>
        </w:pBdr>
        <w:spacing w:after="0"/>
        <w:jc w:val="both"/>
      </w:pPr>
      <w:r>
        <w:rPr>
          <w:color w:val="000000"/>
        </w:rPr>
        <w:t xml:space="preserve">täiendavale </w:t>
      </w:r>
      <w:proofErr w:type="spellStart"/>
      <w:r>
        <w:rPr>
          <w:color w:val="000000"/>
        </w:rPr>
        <w:t>välisturundusele</w:t>
      </w:r>
      <w:proofErr w:type="spellEnd"/>
      <w:r>
        <w:rPr>
          <w:color w:val="000000"/>
        </w:rPr>
        <w:t xml:space="preserve"> (50%).</w:t>
      </w:r>
    </w:p>
    <w:p w14:paraId="00000023" w14:textId="77777777" w:rsidR="00AF272F" w:rsidRDefault="000C3CB6">
      <w:pPr>
        <w:numPr>
          <w:ilvl w:val="1"/>
          <w:numId w:val="3"/>
        </w:numPr>
        <w:pBdr>
          <w:top w:val="nil"/>
          <w:left w:val="nil"/>
          <w:bottom w:val="nil"/>
          <w:right w:val="nil"/>
          <w:between w:val="nil"/>
        </w:pBdr>
        <w:spacing w:after="0"/>
        <w:jc w:val="both"/>
      </w:pPr>
      <w:r>
        <w:rPr>
          <w:color w:val="000000"/>
        </w:rPr>
        <w:t>punktis 2.3 kirjeldatud aasta 2024 täiendavat toetust kasutatakse ainult kultuuri- ja haridusprogrammi sündmuste ja tegevuste elluviimiseks vastava omavalitsuse territooriumil.</w:t>
      </w:r>
    </w:p>
    <w:p w14:paraId="00000024" w14:textId="77777777" w:rsidR="00AF272F" w:rsidRDefault="000C3CB6">
      <w:pPr>
        <w:numPr>
          <w:ilvl w:val="1"/>
          <w:numId w:val="3"/>
        </w:numPr>
        <w:pBdr>
          <w:top w:val="nil"/>
          <w:left w:val="nil"/>
          <w:bottom w:val="nil"/>
          <w:right w:val="nil"/>
          <w:between w:val="nil"/>
        </w:pBdr>
        <w:spacing w:after="0"/>
        <w:jc w:val="both"/>
      </w:pPr>
      <w:r>
        <w:rPr>
          <w:color w:val="000000"/>
        </w:rPr>
        <w:t xml:space="preserve">aasta 2025 toetus (1 euro elaniku kohta) kasutatakse </w:t>
      </w:r>
    </w:p>
    <w:p w14:paraId="00000025" w14:textId="77777777" w:rsidR="00AF272F" w:rsidRDefault="000C3CB6">
      <w:pPr>
        <w:numPr>
          <w:ilvl w:val="2"/>
          <w:numId w:val="3"/>
        </w:numPr>
        <w:pBdr>
          <w:top w:val="nil"/>
          <w:left w:val="nil"/>
          <w:bottom w:val="nil"/>
          <w:right w:val="nil"/>
          <w:between w:val="nil"/>
        </w:pBdr>
        <w:spacing w:after="0"/>
        <w:jc w:val="both"/>
      </w:pPr>
      <w:r>
        <w:rPr>
          <w:color w:val="000000"/>
        </w:rPr>
        <w:t>turundusvaldkonnas meediakajastustele kultuuripealinn Tartu 2024 toimunud sündmustest ja piirkonda jäävatest tegevustest ja teenustest 50%;</w:t>
      </w:r>
    </w:p>
    <w:p w14:paraId="00000026" w14:textId="77777777" w:rsidR="00AF272F" w:rsidRDefault="000C3CB6">
      <w:pPr>
        <w:numPr>
          <w:ilvl w:val="2"/>
          <w:numId w:val="3"/>
        </w:numPr>
        <w:pBdr>
          <w:top w:val="nil"/>
          <w:left w:val="nil"/>
          <w:bottom w:val="nil"/>
          <w:right w:val="nil"/>
          <w:between w:val="nil"/>
        </w:pBdr>
        <w:spacing w:after="0"/>
        <w:jc w:val="both"/>
      </w:pPr>
      <w:r>
        <w:rPr>
          <w:color w:val="000000"/>
        </w:rPr>
        <w:t>jätkutegevusteks saavutatu kindlustamiseks kultuurivaldkonnas ja mainekujunduses 50%.</w:t>
      </w:r>
    </w:p>
    <w:p w14:paraId="00000027" w14:textId="77777777" w:rsidR="00AF272F" w:rsidRDefault="00AF272F">
      <w:pPr>
        <w:pBdr>
          <w:top w:val="nil"/>
          <w:left w:val="nil"/>
          <w:bottom w:val="nil"/>
          <w:right w:val="nil"/>
          <w:between w:val="nil"/>
        </w:pBdr>
        <w:spacing w:after="0"/>
        <w:ind w:left="720"/>
        <w:jc w:val="both"/>
        <w:rPr>
          <w:color w:val="000000"/>
        </w:rPr>
      </w:pPr>
    </w:p>
    <w:p w14:paraId="00000028" w14:textId="77777777" w:rsidR="00AF272F" w:rsidRDefault="000C3CB6">
      <w:pPr>
        <w:numPr>
          <w:ilvl w:val="0"/>
          <w:numId w:val="1"/>
        </w:numPr>
        <w:pBdr>
          <w:top w:val="nil"/>
          <w:left w:val="nil"/>
          <w:bottom w:val="nil"/>
          <w:right w:val="nil"/>
          <w:between w:val="nil"/>
        </w:pBdr>
        <w:spacing w:after="0"/>
        <w:jc w:val="both"/>
      </w:pPr>
      <w:r>
        <w:rPr>
          <w:color w:val="000000"/>
        </w:rPr>
        <w:t xml:space="preserve">Iga omavalitsusega lepitakse eraldi kokku, kuidas toimub toetuse </w:t>
      </w:r>
      <w:r>
        <w:t>ülekandmine</w:t>
      </w:r>
      <w:r>
        <w:rPr>
          <w:color w:val="000000"/>
        </w:rPr>
        <w:t xml:space="preserve"> </w:t>
      </w:r>
      <w:proofErr w:type="spellStart"/>
      <w:r>
        <w:rPr>
          <w:color w:val="000000"/>
        </w:rPr>
        <w:t>SA’le</w:t>
      </w:r>
      <w:proofErr w:type="spellEnd"/>
      <w:r>
        <w:rPr>
          <w:color w:val="000000"/>
        </w:rPr>
        <w:t xml:space="preserve"> arvestades omavalitsuste kehtivaid regulatsioone. </w:t>
      </w:r>
    </w:p>
    <w:p w14:paraId="00000029" w14:textId="77777777" w:rsidR="00AF272F" w:rsidRDefault="00AF272F">
      <w:pPr>
        <w:pBdr>
          <w:top w:val="nil"/>
          <w:left w:val="nil"/>
          <w:bottom w:val="nil"/>
          <w:right w:val="nil"/>
          <w:between w:val="nil"/>
        </w:pBdr>
        <w:spacing w:after="0"/>
        <w:ind w:left="720"/>
        <w:jc w:val="both"/>
        <w:rPr>
          <w:color w:val="000000"/>
        </w:rPr>
      </w:pPr>
    </w:p>
    <w:p w14:paraId="0000002A" w14:textId="77777777" w:rsidR="00AF272F" w:rsidRDefault="000C3CB6">
      <w:pPr>
        <w:numPr>
          <w:ilvl w:val="0"/>
          <w:numId w:val="1"/>
        </w:numPr>
        <w:pBdr>
          <w:top w:val="nil"/>
          <w:left w:val="nil"/>
          <w:bottom w:val="nil"/>
          <w:right w:val="nil"/>
          <w:between w:val="nil"/>
        </w:pBdr>
        <w:spacing w:after="0"/>
        <w:jc w:val="both"/>
      </w:pPr>
      <w:r>
        <w:rPr>
          <w:color w:val="000000"/>
        </w:rPr>
        <w:t>SA esitab vastavale omavalitsusele hiljemalt 15. veebruariks aruande eelmise aasta tegevuskava elluviimise kohta, kaasa arvatud vastava omavalitsuse rahalise panuse kasutamise kohta eelneva aasta jooksul koos ülevaatega sellest, kui palju panustas SA samadesse tegevustesse Tartu linna, Kultuuriministeeriumi ja muude toetajate vahendeid. Omavalitsused eeldavad, et Tartu linna, Kultuuriministeeriumi ja muude toetajate vahendite hulk tegevustesse peab olema võrdne või suurem kui konkreetse omavalitsuse panus ning see peab aruandes kajastuma.</w:t>
      </w:r>
      <w:r>
        <w:rPr>
          <w:color w:val="FF0000"/>
        </w:rPr>
        <w:t xml:space="preserve"> </w:t>
      </w:r>
    </w:p>
    <w:p w14:paraId="0000002B" w14:textId="77777777" w:rsidR="00AF272F" w:rsidRDefault="00AF272F">
      <w:pPr>
        <w:pBdr>
          <w:top w:val="nil"/>
          <w:left w:val="nil"/>
          <w:bottom w:val="nil"/>
          <w:right w:val="nil"/>
          <w:between w:val="nil"/>
        </w:pBdr>
        <w:spacing w:after="0"/>
        <w:ind w:left="720"/>
        <w:rPr>
          <w:b/>
          <w:color w:val="000000"/>
        </w:rPr>
      </w:pPr>
    </w:p>
    <w:p w14:paraId="0000002C" w14:textId="77777777" w:rsidR="00AF272F" w:rsidRDefault="00AF272F">
      <w:pPr>
        <w:pBdr>
          <w:top w:val="nil"/>
          <w:left w:val="nil"/>
          <w:bottom w:val="nil"/>
          <w:right w:val="nil"/>
          <w:between w:val="nil"/>
        </w:pBdr>
        <w:spacing w:after="0"/>
        <w:ind w:left="720"/>
        <w:jc w:val="center"/>
        <w:rPr>
          <w:b/>
          <w:color w:val="000000"/>
        </w:rPr>
      </w:pPr>
    </w:p>
    <w:p w14:paraId="0000002D" w14:textId="77777777" w:rsidR="00AF272F" w:rsidRDefault="000C3CB6">
      <w:pPr>
        <w:pBdr>
          <w:top w:val="nil"/>
          <w:left w:val="nil"/>
          <w:bottom w:val="nil"/>
          <w:right w:val="nil"/>
          <w:between w:val="nil"/>
        </w:pBdr>
        <w:spacing w:after="0"/>
        <w:ind w:left="720"/>
        <w:jc w:val="center"/>
        <w:rPr>
          <w:color w:val="000000"/>
        </w:rPr>
      </w:pPr>
      <w:r>
        <w:rPr>
          <w:b/>
          <w:color w:val="000000"/>
        </w:rPr>
        <w:t>Kultuuripealinna ettevalmistamine</w:t>
      </w:r>
    </w:p>
    <w:p w14:paraId="0000002E" w14:textId="77777777" w:rsidR="00AF272F" w:rsidRDefault="00AF272F">
      <w:pPr>
        <w:pBdr>
          <w:top w:val="nil"/>
          <w:left w:val="nil"/>
          <w:bottom w:val="nil"/>
          <w:right w:val="nil"/>
          <w:between w:val="nil"/>
        </w:pBdr>
        <w:spacing w:after="0"/>
        <w:ind w:left="720"/>
        <w:rPr>
          <w:color w:val="000000"/>
        </w:rPr>
      </w:pPr>
    </w:p>
    <w:p w14:paraId="0000002F" w14:textId="77777777" w:rsidR="00AF272F" w:rsidRDefault="000C3CB6">
      <w:pPr>
        <w:numPr>
          <w:ilvl w:val="0"/>
          <w:numId w:val="1"/>
        </w:numPr>
        <w:pBdr>
          <w:top w:val="nil"/>
          <w:left w:val="nil"/>
          <w:bottom w:val="nil"/>
          <w:right w:val="nil"/>
          <w:between w:val="nil"/>
        </w:pBdr>
        <w:spacing w:after="0"/>
        <w:jc w:val="both"/>
      </w:pPr>
      <w:r>
        <w:rPr>
          <w:color w:val="000000"/>
        </w:rPr>
        <w:t>SA ja omavalitsused deklareerivad, et Euroopa kultuuripealinn Tartu 2024 viiakse ellu osapoolte igakülgses koostöös ning ühiselt pingutatakse selle nimel, et kõigis omavalitsustes toimuks selle raames unikaalseid sündmusi.</w:t>
      </w:r>
    </w:p>
    <w:p w14:paraId="00000030" w14:textId="77777777" w:rsidR="00AF272F" w:rsidRDefault="00AF272F">
      <w:pPr>
        <w:pBdr>
          <w:top w:val="nil"/>
          <w:left w:val="nil"/>
          <w:bottom w:val="nil"/>
          <w:right w:val="nil"/>
          <w:between w:val="nil"/>
        </w:pBdr>
        <w:spacing w:after="0"/>
        <w:ind w:left="720"/>
        <w:jc w:val="both"/>
        <w:rPr>
          <w:color w:val="000000"/>
        </w:rPr>
      </w:pPr>
    </w:p>
    <w:p w14:paraId="00000031" w14:textId="77777777" w:rsidR="00AF272F" w:rsidRDefault="000C3CB6">
      <w:pPr>
        <w:numPr>
          <w:ilvl w:val="0"/>
          <w:numId w:val="1"/>
        </w:numPr>
        <w:pBdr>
          <w:top w:val="nil"/>
          <w:left w:val="nil"/>
          <w:bottom w:val="nil"/>
          <w:right w:val="nil"/>
          <w:between w:val="nil"/>
        </w:pBdr>
        <w:spacing w:after="0"/>
        <w:jc w:val="both"/>
      </w:pPr>
      <w:r>
        <w:rPr>
          <w:color w:val="000000"/>
        </w:rPr>
        <w:lastRenderedPageBreak/>
        <w:t xml:space="preserve">Kõigi omavalitsuste juhid (linnapea/vallavanem või nende ametlik asendaja) kuuluvad Tartu 2024 Omavalitsusjuhtide Foorumisse, mis koguneb minimaalselt </w:t>
      </w:r>
      <w:r>
        <w:t>kaks</w:t>
      </w:r>
      <w:r>
        <w:rPr>
          <w:color w:val="000000"/>
        </w:rPr>
        <w:t xml:space="preserve"> korda aastas. Omavalitsusjuhtide Foorum teeb ettepaneku Lõuna-Eesti omavalitsusjuhtide esindaja määramiseks SA nõukogusse. </w:t>
      </w:r>
    </w:p>
    <w:p w14:paraId="00000032" w14:textId="77777777" w:rsidR="00AF272F" w:rsidRDefault="00AF272F">
      <w:pPr>
        <w:pBdr>
          <w:top w:val="nil"/>
          <w:left w:val="nil"/>
          <w:bottom w:val="nil"/>
          <w:right w:val="nil"/>
          <w:between w:val="nil"/>
        </w:pBdr>
        <w:spacing w:after="0"/>
        <w:ind w:left="720"/>
        <w:rPr>
          <w:color w:val="000000"/>
        </w:rPr>
      </w:pPr>
    </w:p>
    <w:p w14:paraId="00000033" w14:textId="77777777" w:rsidR="00AF272F" w:rsidRDefault="000C3CB6">
      <w:pPr>
        <w:numPr>
          <w:ilvl w:val="0"/>
          <w:numId w:val="1"/>
        </w:numPr>
        <w:pBdr>
          <w:top w:val="nil"/>
          <w:left w:val="nil"/>
          <w:bottom w:val="nil"/>
          <w:right w:val="nil"/>
          <w:between w:val="nil"/>
        </w:pBdr>
        <w:spacing w:after="0"/>
        <w:jc w:val="both"/>
      </w:pPr>
      <w:r>
        <w:rPr>
          <w:color w:val="000000"/>
        </w:rPr>
        <w:t xml:space="preserve">Kultuuripealinna ettevalmistamise protsessi sujuvaks kulgemiseks määrab iga omavalitsus ühe isiku, kes on </w:t>
      </w:r>
      <w:proofErr w:type="spellStart"/>
      <w:r>
        <w:rPr>
          <w:color w:val="000000"/>
        </w:rPr>
        <w:t>SA’le</w:t>
      </w:r>
      <w:proofErr w:type="spellEnd"/>
      <w:r>
        <w:rPr>
          <w:color w:val="000000"/>
        </w:rPr>
        <w:t xml:space="preserve"> kultuuripealinna ettevalmistamise protsessis kontaktisikuks ning kelle kaudu toimub informatsiooni vahendamine ja kokkulepete ettevalmistamine omavalitsusega.</w:t>
      </w:r>
    </w:p>
    <w:p w14:paraId="00000034" w14:textId="77777777" w:rsidR="00AF272F" w:rsidRDefault="00AF272F">
      <w:pPr>
        <w:pBdr>
          <w:top w:val="nil"/>
          <w:left w:val="nil"/>
          <w:bottom w:val="nil"/>
          <w:right w:val="nil"/>
          <w:between w:val="nil"/>
        </w:pBdr>
        <w:spacing w:after="0"/>
        <w:ind w:left="720"/>
        <w:jc w:val="both"/>
        <w:rPr>
          <w:color w:val="000000"/>
        </w:rPr>
      </w:pPr>
    </w:p>
    <w:p w14:paraId="00000035" w14:textId="77777777" w:rsidR="00AF272F" w:rsidRDefault="000C3CB6">
      <w:pPr>
        <w:numPr>
          <w:ilvl w:val="0"/>
          <w:numId w:val="1"/>
        </w:numPr>
        <w:pBdr>
          <w:top w:val="nil"/>
          <w:left w:val="nil"/>
          <w:bottom w:val="nil"/>
          <w:right w:val="nil"/>
          <w:between w:val="nil"/>
        </w:pBdr>
        <w:spacing w:after="0"/>
        <w:jc w:val="both"/>
      </w:pPr>
      <w:r>
        <w:rPr>
          <w:color w:val="000000"/>
        </w:rPr>
        <w:t>Iga omavalitsuse kultuurivaldkonna töötajad kaasatakse kultuuripealinna kultuuritöötajate võrgustikku.</w:t>
      </w:r>
    </w:p>
    <w:p w14:paraId="00000036" w14:textId="77777777" w:rsidR="00AF272F" w:rsidRDefault="00AF272F">
      <w:pPr>
        <w:pBdr>
          <w:top w:val="nil"/>
          <w:left w:val="nil"/>
          <w:bottom w:val="nil"/>
          <w:right w:val="nil"/>
          <w:between w:val="nil"/>
        </w:pBdr>
        <w:spacing w:after="0"/>
        <w:ind w:left="720"/>
        <w:rPr>
          <w:color w:val="000000"/>
        </w:rPr>
      </w:pPr>
    </w:p>
    <w:p w14:paraId="00000037" w14:textId="77777777" w:rsidR="00AF272F" w:rsidRDefault="000C3CB6">
      <w:pPr>
        <w:numPr>
          <w:ilvl w:val="0"/>
          <w:numId w:val="1"/>
        </w:numPr>
        <w:pBdr>
          <w:top w:val="nil"/>
          <w:left w:val="nil"/>
          <w:bottom w:val="nil"/>
          <w:right w:val="nil"/>
          <w:between w:val="nil"/>
        </w:pBdr>
        <w:spacing w:after="0"/>
        <w:jc w:val="both"/>
      </w:pPr>
      <w:r>
        <w:rPr>
          <w:color w:val="000000"/>
        </w:rPr>
        <w:t>Iga omavalitsuse avalike suhete valdkonna töötaja kaasatakse kultuuripealinna kommunikatsioonivõrgustikku sisendinformatsiooni saamiseks ja kultuuripealinna informatsiooni jagamiseks vastavale omavalitsusele.</w:t>
      </w:r>
    </w:p>
    <w:p w14:paraId="00000038" w14:textId="77777777" w:rsidR="00AF272F" w:rsidRDefault="00AF272F">
      <w:pPr>
        <w:pBdr>
          <w:top w:val="nil"/>
          <w:left w:val="nil"/>
          <w:bottom w:val="nil"/>
          <w:right w:val="nil"/>
          <w:between w:val="nil"/>
        </w:pBdr>
        <w:spacing w:after="0"/>
        <w:ind w:left="720"/>
        <w:jc w:val="both"/>
        <w:rPr>
          <w:color w:val="000000"/>
        </w:rPr>
      </w:pPr>
    </w:p>
    <w:p w14:paraId="00000039" w14:textId="77777777" w:rsidR="00AF272F" w:rsidRDefault="000C3CB6">
      <w:pPr>
        <w:numPr>
          <w:ilvl w:val="0"/>
          <w:numId w:val="1"/>
        </w:numPr>
        <w:pBdr>
          <w:top w:val="nil"/>
          <w:left w:val="nil"/>
          <w:bottom w:val="nil"/>
          <w:right w:val="nil"/>
          <w:between w:val="nil"/>
        </w:pBdr>
        <w:spacing w:after="0"/>
        <w:jc w:val="both"/>
      </w:pPr>
      <w:r>
        <w:rPr>
          <w:color w:val="000000"/>
        </w:rPr>
        <w:t xml:space="preserve">Kultuuripealinna Tartu 2024 </w:t>
      </w:r>
      <w:proofErr w:type="spellStart"/>
      <w:r>
        <w:rPr>
          <w:color w:val="000000"/>
        </w:rPr>
        <w:t>turundamiseks</w:t>
      </w:r>
      <w:proofErr w:type="spellEnd"/>
      <w:r>
        <w:rPr>
          <w:color w:val="000000"/>
        </w:rPr>
        <w:t xml:space="preserve"> ja ettevalmistamiseks esitab iga omavalitsus vähemalt neljal korral aastas (1.märtsiks, 1.juuniks, 1.septembriks ja 1.detsembriks) ülevaate järgneva perioodi sündmustest ja sisendi uudisvoo koostamiseks (nt kohaliku tasandi sündmused).</w:t>
      </w:r>
    </w:p>
    <w:p w14:paraId="0000003A" w14:textId="77777777" w:rsidR="00AF272F" w:rsidRDefault="00AF272F">
      <w:pPr>
        <w:pBdr>
          <w:top w:val="nil"/>
          <w:left w:val="nil"/>
          <w:bottom w:val="nil"/>
          <w:right w:val="nil"/>
          <w:between w:val="nil"/>
        </w:pBdr>
        <w:spacing w:after="0"/>
        <w:ind w:left="720"/>
        <w:rPr>
          <w:color w:val="000000"/>
        </w:rPr>
      </w:pPr>
    </w:p>
    <w:p w14:paraId="0000003B" w14:textId="77777777" w:rsidR="00AF272F" w:rsidRDefault="000C3CB6">
      <w:pPr>
        <w:numPr>
          <w:ilvl w:val="0"/>
          <w:numId w:val="1"/>
        </w:numPr>
        <w:pBdr>
          <w:top w:val="nil"/>
          <w:left w:val="nil"/>
          <w:bottom w:val="nil"/>
          <w:right w:val="nil"/>
          <w:between w:val="nil"/>
        </w:pBdr>
        <w:spacing w:after="0"/>
        <w:jc w:val="both"/>
      </w:pPr>
      <w:bookmarkStart w:id="1" w:name="_heading=h.gjdgxs" w:colFirst="0" w:colLast="0"/>
      <w:bookmarkEnd w:id="1"/>
      <w:r>
        <w:rPr>
          <w:color w:val="000000"/>
        </w:rPr>
        <w:t xml:space="preserve">SA teeb tihedat koostööd maakondlike arendusorganisatsioonidega. Iga kaasatud maakonna arendusorganisatsiooni ja Viljandi linnavalitsuse poolt nimetatud kultuurijuht kuulub kultuuripealinna programmi ettevalmistavasse regionaalsesse ekspertkomisjoni, mis nõustab </w:t>
      </w:r>
      <w:proofErr w:type="spellStart"/>
      <w:r>
        <w:rPr>
          <w:color w:val="000000"/>
        </w:rPr>
        <w:t>SA’d</w:t>
      </w:r>
      <w:proofErr w:type="spellEnd"/>
      <w:r>
        <w:rPr>
          <w:color w:val="000000"/>
        </w:rPr>
        <w:t xml:space="preserve"> kultuuripealinna programmi regionaalse osa ette valmistamisel välja töötatava statuudi alusel.</w:t>
      </w:r>
    </w:p>
    <w:p w14:paraId="0000003C" w14:textId="77777777" w:rsidR="00AF272F" w:rsidRDefault="00AF272F">
      <w:pPr>
        <w:pBdr>
          <w:top w:val="nil"/>
          <w:left w:val="nil"/>
          <w:bottom w:val="nil"/>
          <w:right w:val="nil"/>
          <w:between w:val="nil"/>
        </w:pBdr>
        <w:spacing w:after="0"/>
        <w:ind w:left="720"/>
        <w:rPr>
          <w:color w:val="000000"/>
        </w:rPr>
      </w:pPr>
    </w:p>
    <w:p w14:paraId="0000003D" w14:textId="77777777" w:rsidR="00AF272F" w:rsidRDefault="00AF272F">
      <w:pPr>
        <w:pBdr>
          <w:top w:val="nil"/>
          <w:left w:val="nil"/>
          <w:bottom w:val="nil"/>
          <w:right w:val="nil"/>
          <w:between w:val="nil"/>
        </w:pBdr>
        <w:ind w:left="720"/>
        <w:jc w:val="both"/>
        <w:rPr>
          <w:color w:val="000000"/>
        </w:rPr>
      </w:pPr>
    </w:p>
    <w:p w14:paraId="0000003E" w14:textId="77777777" w:rsidR="00AF272F" w:rsidRDefault="000C3CB6">
      <w:pPr>
        <w:jc w:val="center"/>
        <w:rPr>
          <w:b/>
        </w:rPr>
      </w:pPr>
      <w:r>
        <w:rPr>
          <w:b/>
        </w:rPr>
        <w:t>Lõppsätted</w:t>
      </w:r>
    </w:p>
    <w:p w14:paraId="0000003F" w14:textId="77777777" w:rsidR="00AF272F" w:rsidRDefault="000C3CB6">
      <w:pPr>
        <w:numPr>
          <w:ilvl w:val="0"/>
          <w:numId w:val="1"/>
        </w:numPr>
        <w:pBdr>
          <w:top w:val="nil"/>
          <w:left w:val="nil"/>
          <w:bottom w:val="nil"/>
          <w:right w:val="nil"/>
          <w:between w:val="nil"/>
        </w:pBdr>
        <w:jc w:val="both"/>
      </w:pPr>
      <w:r>
        <w:rPr>
          <w:color w:val="000000"/>
        </w:rPr>
        <w:t>Kokkulepe jõustub iga omavalitsuse jaoks tema esindaja poolt käesoleva kokkuleppe allkirjastamisel ning kehtib kuni kõigi kohustuste täitmiseni Poolte poolt.</w:t>
      </w:r>
    </w:p>
    <w:p w14:paraId="00000040" w14:textId="77777777" w:rsidR="00AF272F" w:rsidRDefault="00AF272F">
      <w:pPr>
        <w:jc w:val="both"/>
      </w:pPr>
    </w:p>
    <w:p w14:paraId="00000041" w14:textId="77777777" w:rsidR="00AF272F" w:rsidRDefault="000C3CB6">
      <w:pPr>
        <w:jc w:val="both"/>
      </w:pPr>
      <w:r>
        <w:t>Poolte allkirjad</w:t>
      </w:r>
    </w:p>
    <w:sectPr w:rsidR="00AF272F">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6C7873" w14:textId="77777777" w:rsidR="003C3F0A" w:rsidRDefault="003C3F0A">
      <w:pPr>
        <w:spacing w:after="0" w:line="240" w:lineRule="auto"/>
      </w:pPr>
      <w:r>
        <w:separator/>
      </w:r>
    </w:p>
  </w:endnote>
  <w:endnote w:type="continuationSeparator" w:id="0">
    <w:p w14:paraId="0B61F080" w14:textId="77777777" w:rsidR="003C3F0A" w:rsidRDefault="003C3F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8E6C1D" w14:textId="77777777" w:rsidR="003C3F0A" w:rsidRDefault="003C3F0A">
      <w:pPr>
        <w:spacing w:after="0" w:line="240" w:lineRule="auto"/>
      </w:pPr>
      <w:r>
        <w:separator/>
      </w:r>
    </w:p>
  </w:footnote>
  <w:footnote w:type="continuationSeparator" w:id="0">
    <w:p w14:paraId="562D9A65" w14:textId="77777777" w:rsidR="003C3F0A" w:rsidRDefault="003C3F0A">
      <w:pPr>
        <w:spacing w:after="0" w:line="240" w:lineRule="auto"/>
      </w:pPr>
      <w:r>
        <w:continuationSeparator/>
      </w:r>
    </w:p>
  </w:footnote>
  <w:footnote w:id="1">
    <w:p w14:paraId="00000042" w14:textId="77777777" w:rsidR="00AF272F" w:rsidRDefault="000C3CB6">
      <w:pPr>
        <w:pBdr>
          <w:top w:val="nil"/>
          <w:left w:val="nil"/>
          <w:bottom w:val="nil"/>
          <w:right w:val="nil"/>
          <w:between w:val="nil"/>
        </w:pBdr>
        <w:spacing w:after="0" w:line="240" w:lineRule="auto"/>
        <w:rPr>
          <w:color w:val="000000"/>
          <w:sz w:val="20"/>
          <w:szCs w:val="20"/>
        </w:rPr>
      </w:pPr>
      <w:r>
        <w:rPr>
          <w:rStyle w:val="Allmrkuseviide"/>
        </w:rPr>
        <w:footnoteRef/>
      </w:r>
      <w:r>
        <w:rPr>
          <w:color w:val="000000"/>
          <w:sz w:val="20"/>
          <w:szCs w:val="20"/>
        </w:rPr>
        <w:t xml:space="preserve"> Elanike arv fikseeritakse seisuga 1. jaanuar 2021 ning selle kuupäeva seisu rahvaarv võetakse aluseks kogu perioodi rahalise panuse arvestamisel.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2662A58"/>
    <w:multiLevelType w:val="multilevel"/>
    <w:tmpl w:val="5A9CAD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EF15F71"/>
    <w:multiLevelType w:val="multilevel"/>
    <w:tmpl w:val="832CACBA"/>
    <w:lvl w:ilvl="0">
      <w:start w:val="5"/>
      <w:numFmt w:val="decimal"/>
      <w:lvlText w:val="%1."/>
      <w:lvlJc w:val="left"/>
      <w:pPr>
        <w:ind w:left="720" w:hanging="360"/>
      </w:pPr>
      <w:rPr>
        <w:rFonts w:ascii="Calibri" w:eastAsia="Calibri" w:hAnsi="Calibri" w:cs="Calibri"/>
      </w:r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 w15:restartNumberingAfterBreak="0">
    <w:nsid w:val="42D95183"/>
    <w:multiLevelType w:val="multilevel"/>
    <w:tmpl w:val="97E8125A"/>
    <w:lvl w:ilvl="0">
      <w:start w:val="2"/>
      <w:numFmt w:val="decimal"/>
      <w:lvlText w:val="%1."/>
      <w:lvlJc w:val="left"/>
      <w:pPr>
        <w:ind w:left="720" w:hanging="360"/>
      </w:pPr>
      <w:rPr>
        <w:rFonts w:ascii="Calibri" w:eastAsia="Calibri" w:hAnsi="Calibri" w:cs="Calibri"/>
      </w:r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3" w15:restartNumberingAfterBreak="0">
    <w:nsid w:val="574C4ECD"/>
    <w:multiLevelType w:val="multilevel"/>
    <w:tmpl w:val="993406B6"/>
    <w:lvl w:ilvl="0">
      <w:start w:val="1"/>
      <w:numFmt w:val="decimal"/>
      <w:lvlText w:val="%1."/>
      <w:lvlJc w:val="left"/>
      <w:pPr>
        <w:ind w:left="720" w:hanging="360"/>
      </w:pPr>
      <w:rPr>
        <w:rFonts w:ascii="Calibri" w:eastAsia="Calibri" w:hAnsi="Calibri" w:cs="Calibri"/>
        <w:color w:val="000000"/>
      </w:r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4" w15:restartNumberingAfterBreak="0">
    <w:nsid w:val="66AE0014"/>
    <w:multiLevelType w:val="multilevel"/>
    <w:tmpl w:val="7E1674A6"/>
    <w:lvl w:ilvl="0">
      <w:start w:val="4"/>
      <w:numFmt w:val="decimal"/>
      <w:lvlText w:val="%1."/>
      <w:lvlJc w:val="left"/>
      <w:pPr>
        <w:ind w:left="720" w:hanging="360"/>
      </w:p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5" w15:restartNumberingAfterBreak="0">
    <w:nsid w:val="6A21485E"/>
    <w:multiLevelType w:val="multilevel"/>
    <w:tmpl w:val="EF84334E"/>
    <w:lvl w:ilvl="0">
      <w:start w:val="6"/>
      <w:numFmt w:val="decimal"/>
      <w:lvlText w:val="%1."/>
      <w:lvlJc w:val="left"/>
      <w:pPr>
        <w:ind w:left="720" w:hanging="360"/>
      </w:pPr>
      <w:rPr>
        <w:rFonts w:ascii="Calibri" w:eastAsia="Calibri" w:hAnsi="Calibri" w:cs="Calibri"/>
      </w:rPr>
    </w:lvl>
    <w:lvl w:ilvl="1">
      <w:start w:val="1"/>
      <w:numFmt w:val="decimal"/>
      <w:lvlText w:val="%1.%2."/>
      <w:lvlJc w:val="left"/>
      <w:pPr>
        <w:ind w:left="1110" w:hanging="39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6" w15:restartNumberingAfterBreak="0">
    <w:nsid w:val="6DA066BA"/>
    <w:multiLevelType w:val="multilevel"/>
    <w:tmpl w:val="8228CB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5"/>
  </w:num>
  <w:num w:numId="2">
    <w:abstractNumId w:val="2"/>
  </w:num>
  <w:num w:numId="3">
    <w:abstractNumId w:val="1"/>
  </w:num>
  <w:num w:numId="4">
    <w:abstractNumId w:val="4"/>
  </w:num>
  <w:num w:numId="5">
    <w:abstractNumId w:val="0"/>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72F"/>
    <w:rsid w:val="000C3CB6"/>
    <w:rsid w:val="003C3F0A"/>
    <w:rsid w:val="004C71AD"/>
    <w:rsid w:val="00713D9B"/>
    <w:rsid w:val="00AF272F"/>
    <w:rsid w:val="00E040D0"/>
    <w:rsid w:val="00E403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DEBF3B-B562-4E84-A8A7-6ABA39B22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style>
  <w:style w:type="paragraph" w:styleId="Pealkiri1">
    <w:name w:val="heading 1"/>
    <w:basedOn w:val="Normaallaad"/>
    <w:next w:val="Normaallaad"/>
    <w:uiPriority w:val="9"/>
    <w:qFormat/>
    <w:pPr>
      <w:keepNext/>
      <w:keepLines/>
      <w:spacing w:before="480" w:after="120"/>
      <w:outlineLvl w:val="0"/>
    </w:pPr>
    <w:rPr>
      <w:b/>
      <w:sz w:val="48"/>
      <w:szCs w:val="48"/>
    </w:rPr>
  </w:style>
  <w:style w:type="paragraph" w:styleId="Pealkiri2">
    <w:name w:val="heading 2"/>
    <w:basedOn w:val="Normaallaad"/>
    <w:next w:val="Normaallaad"/>
    <w:uiPriority w:val="9"/>
    <w:semiHidden/>
    <w:unhideWhenUsed/>
    <w:qFormat/>
    <w:pPr>
      <w:keepNext/>
      <w:keepLines/>
      <w:spacing w:before="360" w:after="80"/>
      <w:outlineLvl w:val="1"/>
    </w:pPr>
    <w:rPr>
      <w:b/>
      <w:sz w:val="36"/>
      <w:szCs w:val="36"/>
    </w:rPr>
  </w:style>
  <w:style w:type="paragraph" w:styleId="Pealkiri3">
    <w:name w:val="heading 3"/>
    <w:basedOn w:val="Normaallaad"/>
    <w:next w:val="Normaallaad"/>
    <w:uiPriority w:val="9"/>
    <w:semiHidden/>
    <w:unhideWhenUsed/>
    <w:qFormat/>
    <w:pPr>
      <w:keepNext/>
      <w:keepLines/>
      <w:spacing w:before="280" w:after="80"/>
      <w:outlineLvl w:val="2"/>
    </w:pPr>
    <w:rPr>
      <w:b/>
      <w:sz w:val="28"/>
      <w:szCs w:val="28"/>
    </w:rPr>
  </w:style>
  <w:style w:type="paragraph" w:styleId="Pealkiri4">
    <w:name w:val="heading 4"/>
    <w:basedOn w:val="Normaallaad"/>
    <w:next w:val="Normaallaad"/>
    <w:uiPriority w:val="9"/>
    <w:semiHidden/>
    <w:unhideWhenUsed/>
    <w:qFormat/>
    <w:pPr>
      <w:keepNext/>
      <w:keepLines/>
      <w:spacing w:before="240" w:after="40"/>
      <w:outlineLvl w:val="3"/>
    </w:pPr>
    <w:rPr>
      <w:b/>
      <w:sz w:val="24"/>
      <w:szCs w:val="24"/>
    </w:rPr>
  </w:style>
  <w:style w:type="paragraph" w:styleId="Pealkiri5">
    <w:name w:val="heading 5"/>
    <w:basedOn w:val="Normaallaad"/>
    <w:next w:val="Normaallaad"/>
    <w:uiPriority w:val="9"/>
    <w:semiHidden/>
    <w:unhideWhenUsed/>
    <w:qFormat/>
    <w:pPr>
      <w:keepNext/>
      <w:keepLines/>
      <w:spacing w:before="220" w:after="40"/>
      <w:outlineLvl w:val="4"/>
    </w:pPr>
    <w:rPr>
      <w:b/>
    </w:rPr>
  </w:style>
  <w:style w:type="paragraph" w:styleId="Pealkiri6">
    <w:name w:val="heading 6"/>
    <w:basedOn w:val="Normaallaad"/>
    <w:next w:val="Normaallaad"/>
    <w:uiPriority w:val="9"/>
    <w:semiHidden/>
    <w:unhideWhenUsed/>
    <w:qFormat/>
    <w:pPr>
      <w:keepNext/>
      <w:keepLines/>
      <w:spacing w:before="200" w:after="40"/>
      <w:outlineLvl w:val="5"/>
    </w:pPr>
    <w:rPr>
      <w:b/>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ealkiri">
    <w:name w:val="Title"/>
    <w:basedOn w:val="Normaallaad"/>
    <w:next w:val="Normaallaad"/>
    <w:uiPriority w:val="10"/>
    <w:qFormat/>
    <w:pPr>
      <w:keepNext/>
      <w:keepLines/>
      <w:spacing w:before="480" w:after="120"/>
    </w:pPr>
    <w:rPr>
      <w:b/>
      <w:sz w:val="72"/>
      <w:szCs w:val="72"/>
    </w:rPr>
  </w:style>
  <w:style w:type="paragraph" w:styleId="Loendilik">
    <w:name w:val="List Paragraph"/>
    <w:basedOn w:val="Normaallaad"/>
    <w:uiPriority w:val="34"/>
    <w:qFormat/>
    <w:rsid w:val="00D13C86"/>
    <w:pPr>
      <w:ind w:left="720"/>
      <w:contextualSpacing/>
    </w:pPr>
  </w:style>
  <w:style w:type="paragraph" w:styleId="Allmrkusetekst">
    <w:name w:val="footnote text"/>
    <w:basedOn w:val="Normaallaad"/>
    <w:link w:val="AllmrkusetekstMrk"/>
    <w:uiPriority w:val="99"/>
    <w:semiHidden/>
    <w:unhideWhenUsed/>
    <w:rsid w:val="00FA6384"/>
    <w:pPr>
      <w:spacing w:after="0" w:line="240" w:lineRule="auto"/>
    </w:pPr>
    <w:rPr>
      <w:sz w:val="20"/>
      <w:szCs w:val="20"/>
    </w:rPr>
  </w:style>
  <w:style w:type="character" w:customStyle="1" w:styleId="AllmrkusetekstMrk">
    <w:name w:val="Allmärkuse tekst Märk"/>
    <w:basedOn w:val="Liguvaikefont"/>
    <w:link w:val="Allmrkusetekst"/>
    <w:uiPriority w:val="99"/>
    <w:semiHidden/>
    <w:rsid w:val="00FA6384"/>
    <w:rPr>
      <w:sz w:val="20"/>
      <w:szCs w:val="20"/>
    </w:rPr>
  </w:style>
  <w:style w:type="character" w:styleId="Allmrkuseviide">
    <w:name w:val="footnote reference"/>
    <w:basedOn w:val="Liguvaikefont"/>
    <w:uiPriority w:val="99"/>
    <w:semiHidden/>
    <w:unhideWhenUsed/>
    <w:rsid w:val="00FA6384"/>
    <w:rPr>
      <w:vertAlign w:val="superscript"/>
    </w:rPr>
  </w:style>
  <w:style w:type="numbering" w:customStyle="1" w:styleId="Style1">
    <w:name w:val="Style1"/>
    <w:uiPriority w:val="99"/>
    <w:rsid w:val="00BB581F"/>
  </w:style>
  <w:style w:type="paragraph" w:styleId="Alapealkiri">
    <w:name w:val="Subtitle"/>
    <w:basedOn w:val="Normaallaad"/>
    <w:next w:val="Normaallaad"/>
    <w:uiPriority w:val="11"/>
    <w:qFormat/>
    <w:pPr>
      <w:keepNext/>
      <w:keepLines/>
      <w:spacing w:before="360" w:after="80"/>
    </w:pPr>
    <w:rPr>
      <w:rFonts w:ascii="Georgia" w:eastAsia="Georgia" w:hAnsi="Georgia" w:cs="Georgia"/>
      <w:i/>
      <w:color w:val="666666"/>
      <w:sz w:val="48"/>
      <w:szCs w:val="48"/>
    </w:rPr>
  </w:style>
  <w:style w:type="paragraph" w:styleId="Kommentaaritekst">
    <w:name w:val="annotation text"/>
    <w:basedOn w:val="Normaallaad"/>
    <w:link w:val="KommentaaritekstMrk"/>
    <w:uiPriority w:val="99"/>
    <w:semiHidden/>
    <w:unhideWhenUsed/>
    <w:pPr>
      <w:spacing w:line="240" w:lineRule="auto"/>
    </w:pPr>
    <w:rPr>
      <w:sz w:val="20"/>
      <w:szCs w:val="20"/>
    </w:rPr>
  </w:style>
  <w:style w:type="character" w:customStyle="1" w:styleId="KommentaaritekstMrk">
    <w:name w:val="Kommentaari tekst Märk"/>
    <w:basedOn w:val="Liguvaikefont"/>
    <w:link w:val="Kommentaaritekst"/>
    <w:uiPriority w:val="99"/>
    <w:semiHidden/>
    <w:rPr>
      <w:sz w:val="20"/>
      <w:szCs w:val="20"/>
    </w:rPr>
  </w:style>
  <w:style w:type="character" w:styleId="Kommentaariviide">
    <w:name w:val="annotation reference"/>
    <w:basedOn w:val="Liguvaikefont"/>
    <w:uiPriority w:val="99"/>
    <w:semiHidden/>
    <w:unhideWhenUsed/>
    <w:rPr>
      <w:sz w:val="16"/>
      <w:szCs w:val="16"/>
    </w:rPr>
  </w:style>
  <w:style w:type="paragraph" w:styleId="Jutumullitekst">
    <w:name w:val="Balloon Text"/>
    <w:basedOn w:val="Normaallaad"/>
    <w:link w:val="JutumullitekstMrk"/>
    <w:uiPriority w:val="99"/>
    <w:semiHidden/>
    <w:unhideWhenUsed/>
    <w:rsid w:val="004C71AD"/>
    <w:pPr>
      <w:spacing w:after="0" w:line="240" w:lineRule="auto"/>
    </w:pPr>
    <w:rPr>
      <w:rFonts w:ascii="Segoe UI" w:hAnsi="Segoe UI" w:cs="Segoe UI"/>
      <w:sz w:val="18"/>
      <w:szCs w:val="18"/>
    </w:rPr>
  </w:style>
  <w:style w:type="character" w:customStyle="1" w:styleId="JutumullitekstMrk">
    <w:name w:val="Jutumullitekst Märk"/>
    <w:basedOn w:val="Liguvaikefont"/>
    <w:link w:val="Jutumullitekst"/>
    <w:uiPriority w:val="99"/>
    <w:semiHidden/>
    <w:rsid w:val="004C71A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HMc9CvvG7Bz4Xz0dxhtdfCH/5Ug==">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1022</Words>
  <Characters>5933</Characters>
  <Application>Microsoft Office Word</Application>
  <DocSecurity>0</DocSecurity>
  <Lines>49</Lines>
  <Paragraphs>13</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6942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Anneli Apuhtin</dc:creator>
  <cp:lastModifiedBy>Helena Tiivel</cp:lastModifiedBy>
  <cp:revision>2</cp:revision>
  <dcterms:created xsi:type="dcterms:W3CDTF">2020-09-16T06:55:00Z</dcterms:created>
  <dcterms:modified xsi:type="dcterms:W3CDTF">2020-09-16T06:55:00Z</dcterms:modified>
</cp:coreProperties>
</file>